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f18042ac1a5ed017618ecba04291b7c395d95"/>
    <w:p>
      <w:pPr>
        <w:pStyle w:val="Heading3"/>
      </w:pPr>
      <w:r>
        <w:t xml:space="preserve">Памятка «Административная ответственность юридических лиц за совершение правонарушений коррупционной направленности»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«Административная ответственность юридических лиц за совершение правонарушений коррупционной направленности»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http://golyanovo.mos.ru/anti-corruption1/methodical-materials/detail/7714390.html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4390.html" TargetMode="External" /><Relationship Type="http://schemas.openxmlformats.org/officeDocument/2006/relationships/hyperlink" Id="rId20" Target="https://genproc.gov.ru/upload/iblock/454/yurlica_2017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4390.html" TargetMode="External" /><Relationship Type="http://schemas.openxmlformats.org/officeDocument/2006/relationships/hyperlink" Id="rId20" Target="https://genproc.gov.ru/upload/iblock/454/yurlica_2017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2023-07-21T11:11:10Z</dcterms:created>
  <dcterms:modified xsi:type="dcterms:W3CDTF">2023-07-21T11:11:10Z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