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49f2c47361748801e2422799f0fdf9f40b1b5"/>
    <w:p>
      <w:pPr>
        <w:pStyle w:val="Heading3"/>
      </w:pPr>
      <w:r>
        <w:t xml:space="preserve">Памятка для служащих "Контроль за соответствием расходов государственных и муниципальных служащих их доходам"</w:t>
      </w:r>
    </w:p>
    <w:p>
      <w:pPr>
        <w:pStyle w:val="FirstParagraph"/>
      </w:pPr>
      <w:r>
        <w:t xml:space="preserve">22.11.2018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для служащих "Контроль за соответствием расходов государственных и муниципальных служащих их доходам"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http://golyanovo.mos.ru/anti-corruption1/methodical-materials/detail/7714411.html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7714411.html" TargetMode="External" /><Relationship Type="http://schemas.openxmlformats.org/officeDocument/2006/relationships/hyperlink" Id="rId20" Target="https://genproc.gov.ru/upload/iblock/46d/memo_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7714411.html" TargetMode="External" /><Relationship Type="http://schemas.openxmlformats.org/officeDocument/2006/relationships/hyperlink" Id="rId20" Target="https://genproc.gov.ru/upload/iblock/46d/memo_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2023-10-29T20:33:43Z</dcterms:created>
  <dcterms:modified xsi:type="dcterms:W3CDTF">2023-10-29T20:33:43Z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