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циальный-ролик.-вредная-привычка"/>
    <w:p>
      <w:pPr>
        <w:pStyle w:val="Heading3"/>
      </w:pPr>
      <w:r>
        <w:t xml:space="preserve">Социальный ролик. Вредная привычка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hyperlink r:id="rId20">
        <w:r>
          <w:rPr>
            <w:rStyle w:val="Hyperlink"/>
          </w:rPr>
          <w:t xml:space="preserve">Социальный ролик. Вредная привычка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http://golyanovo.mos.ru/anti-corruption1/methodical-materials/detail/7715395.html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7715395.html" TargetMode="External" /><Relationship Type="http://schemas.openxmlformats.org/officeDocument/2006/relationships/hyperlink" Id="rId20" Target="https://genproc.gov.ru/anticor/anticor-legal-education/video/14811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7715395.html" TargetMode="External" /><Relationship Type="http://schemas.openxmlformats.org/officeDocument/2006/relationships/hyperlink" Id="rId20" Target="https://genproc.gov.ru/anticor/anticor-legal-education/video/14811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2023-10-07T23:39:39Z</dcterms:created>
  <dcterms:modified xsi:type="dcterms:W3CDTF">2023-10-07T23:39:39Z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