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0330120baee241295fd21755de5bc482c894f"/>
    <w:p>
      <w:pPr>
        <w:pStyle w:val="Heading3"/>
      </w:pPr>
      <w:r>
        <w:t xml:space="preserve">Генеральная прокуратура Российской Федерации разъясняет</w:t>
      </w:r>
    </w:p>
    <w:p>
      <w:pPr>
        <w:pStyle w:val="FirstParagraph"/>
      </w:pPr>
      <w:r>
        <w:t xml:space="preserve">30.01.2019</w:t>
      </w:r>
    </w:p>
    <w:p>
      <w:pPr>
        <w:pStyle w:val="BodyText"/>
      </w:pPr>
      <w:r>
        <w:t xml:space="preserve">Генеральная прокуратура РФ разъясняет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http://golyanovo.mos.ru/anti-corruption1/methodical-materials/detail/7854778.html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anti-corruption1/methodical-materials/detail/7854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anti-corruption1/methodical-materials/detail/7854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2023-10-07T23:54:56Z</dcterms:created>
  <dcterms:modified xsi:type="dcterms:W3CDTF">2023-10-07T23:54:56Z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