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6e802b0b2741b8c03ff389d9321df5d83cf56"/>
    <w:p>
      <w:pPr>
        <w:pStyle w:val="Heading3"/>
      </w:pPr>
      <w:r>
        <w:t xml:space="preserve">Методические рекомендации по вопросам предоставления сведений о доходах, расходах, об имуществе и обязательствах имущественного характера и заполнения соответствующей формы справки в 2021 году (за отчетный 2020 год)</w:t>
      </w:r>
    </w:p>
    <w:p>
      <w:pPr>
        <w:pStyle w:val="FirstParagraph"/>
      </w:pPr>
      <w:r>
        <w:t xml:space="preserve">19.02.2021</w:t>
      </w:r>
    </w:p>
    <w:p>
      <w:pPr>
        <w:pStyle w:val="BodyText"/>
      </w:pPr>
      <w:r>
        <w:rPr>
          <w:bCs/>
          <w:b/>
        </w:rPr>
        <w:t xml:space="preserve">Данные Методические рекомендации разработаны с целью разъяснения отдельных ситуаций, возникающих при заполнении справок о доходах, расходах, об имуществе и обязательствах имущественного характера, носят рекомендательный характер и не являются нормативным правовым актом Российской Федерации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http://golyanovo.mos.ru/anti-corruption1/methodical-materials/detail/9728690.html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anti-corruption1/methodical-materials/detail/9728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anti-corruption1/methodical-materials/detail/9728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2024-08-12T22:16:38Z</dcterms:created>
  <dcterms:modified xsi:type="dcterms:W3CDTF">2024-08-12T22:16:38Z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