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c296f95fad465aa7ae4b0e90b555ac3d0794d"/>
    <w:p>
      <w:pPr>
        <w:pStyle w:val="Heading3"/>
      </w:pPr>
      <w:r>
        <w:t xml:space="preserve">Обзор типовых ситуаций конфликта интересов на государственной службе Российской Федерации и порядка их урегулирования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В приложении данного подраздела размещен и доступен для скачивания Обзор типовых ситуаций конфликта интересов на государственной службе Российской Федерации и порядка их урегулирования.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57.html" TargetMode="External" /><Relationship Type="http://schemas.openxmlformats.org/officeDocument/2006/relationships/hyperlink" Id="rId20" Target="https://mintrud.gov.ru/ministry/programms/anticorruption/9/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57.html" TargetMode="External" /><Relationship Type="http://schemas.openxmlformats.org/officeDocument/2006/relationships/hyperlink" Id="rId20" Target="https://mintrud.gov.ru/ministry/programms/anticorruption/9/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2023-08-29T07:31:19Z</dcterms:created>
  <dcterms:modified xsi:type="dcterms:W3CDTF">2023-08-29T07:31:19Z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