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02ca94e27231894a821d7116c20c6fe6f6ca8"/>
    <w:p>
      <w:pPr>
        <w:pStyle w:val="Heading3"/>
      </w:pPr>
      <w:r>
        <w:t xml:space="preserve">Рекомендации по Подразделам официальных сайтов, посвященных вопросам противодействия коррупции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hyperlink r:id="rId20">
        <w:r>
          <w:rPr>
            <w:rStyle w:val="Hyperlink"/>
          </w:rPr>
          <w:t xml:space="preserve">В связи с поступающими запросами Министерством труда и социальной защиты Российской Федерации подготовлены рекомендации по соблюдению требований к размещению и наполнению подразделов официальных сайтов, посвященных вопросам противодействия коррупции, и требований к должностям, замещение которых влечет за собой размещение сведений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http://golyanovo.mos.ru/anti-corruption1/methodical-materials/detail/9732275.html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275.html" TargetMode="External" /><Relationship Type="http://schemas.openxmlformats.org/officeDocument/2006/relationships/hyperlink" Id="rId20" Target="https://mintrud.gov.ru/ministry/programms/anticorruption/9/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275.html" TargetMode="External" /><Relationship Type="http://schemas.openxmlformats.org/officeDocument/2006/relationships/hyperlink" Id="rId20" Target="https://mintrud.gov.ru/ministry/programms/anticorruption/9/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2023-10-10T06:36:06Z</dcterms:created>
  <dcterms:modified xsi:type="dcterms:W3CDTF">2023-10-10T06:36:06Z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