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d805751622f252585337d4b0ad09907a09c9a"/>
    <w:p>
      <w:pPr>
        <w:pStyle w:val="Heading3"/>
      </w:pPr>
      <w:r>
        <w:t xml:space="preserve">Рекомендации по соблюдению государственными (муниципальными служащими норм этики в целях противодействия коррупции и иным правонарушениям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В рамках осуществления полномочий, предусмотренных пунктом 25 Указа Президента Российской Федерации от 2 апреля 2013 г. № 309 «О мерах по реализации отдельных положений Федерального закона «О противодействии коррупции»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http://golyanovo.mos.ru/anti-corruption1/methodical-materials/detail/9732301.html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301.html" TargetMode="External" /><Relationship Type="http://schemas.openxmlformats.org/officeDocument/2006/relationships/hyperlink" Id="rId20" Target="https://mintrud.gov.ru/ministry/programms/anticorruption/9/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301.html" TargetMode="External" /><Relationship Type="http://schemas.openxmlformats.org/officeDocument/2006/relationships/hyperlink" Id="rId20" Target="https://mintrud.gov.ru/ministry/programms/anticorruption/9/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2023-07-22T16:27:10Z</dcterms:created>
  <dcterms:modified xsi:type="dcterms:W3CDTF">2023-07-22T16:27:10Z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