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6eea6a49f46c30788ff547d737c0c827e383d8"/>
    <w:p>
      <w:pPr>
        <w:pStyle w:val="Heading3"/>
      </w:pPr>
      <w:r>
        <w:t xml:space="preserve">Рекомендации по порядку проведения оценки коррупционных рисков в организации</w:t>
      </w:r>
    </w:p>
    <w:p>
      <w:pPr>
        <w:pStyle w:val="FirstParagraph"/>
      </w:pPr>
      <w:r>
        <w:t xml:space="preserve">20.02.2021</w:t>
      </w:r>
    </w:p>
    <w:p>
      <w:pPr>
        <w:pStyle w:val="BodyText"/>
      </w:pPr>
      <w:hyperlink r:id="rId20">
        <w:r>
          <w:rPr>
            <w:rStyle w:val="Hyperlink"/>
          </w:rPr>
          <w:t xml:space="preserve">Рекомендации по порядку проведения оценки коррупционных рисков в организации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http://golyanovo.mos.ru/anti-corruption1/methodical-materials/detail/9732834.html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834.html" TargetMode="External" /><Relationship Type="http://schemas.openxmlformats.org/officeDocument/2006/relationships/hyperlink" Id="rId20" Target="https://mintrud.gov.ru/uploads/magic/ru-RU/Ministry-0-106-src-1568817604.794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anti-corruption1/methodical-materials/detail/9732834.html" TargetMode="External" /><Relationship Type="http://schemas.openxmlformats.org/officeDocument/2006/relationships/hyperlink" Id="rId20" Target="https://mintrud.gov.ru/uploads/magic/ru-RU/Ministry-0-106-src-1568817604.794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2024-09-24T06:58:19Z</dcterms:created>
  <dcterms:modified xsi:type="dcterms:W3CDTF">2024-09-24T06:58:19Z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