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e6e800d737a4fb51664444b497a8835337248"/>
    <w:p>
      <w:pPr>
        <w:pStyle w:val="Heading3"/>
      </w:pPr>
      <w:r>
        <w:t xml:space="preserve">Меры по предупреждению коррупции в организациях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hyperlink r:id="rId20">
        <w:r>
          <w:rPr>
            <w:rStyle w:val="Hyperlink"/>
          </w:rPr>
          <w:t xml:space="preserve">Меры по предупреждению коррупции в организациях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http://golyanovo.mos.ru/anti-corruption1/methodical-materials/detail/9732849.html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849.html" TargetMode="External" /><Relationship Type="http://schemas.openxmlformats.org/officeDocument/2006/relationships/hyperlink" Id="rId20" Target="https://mintrud.gov.ru/uploads/magic/ru-RU/Ministry-0-106-src-1568817692.8748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849.html" TargetMode="External" /><Relationship Type="http://schemas.openxmlformats.org/officeDocument/2006/relationships/hyperlink" Id="rId20" Target="https://mintrud.gov.ru/uploads/magic/ru-RU/Ministry-0-106-src-1568817692.8748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2024-08-12T22:44:31Z</dcterms:created>
  <dcterms:modified xsi:type="dcterms:W3CDTF">2024-08-12T22:44:31Z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