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уровни-террористической-опасности"/>
    <w:p>
      <w:pPr>
        <w:pStyle w:val="Heading3"/>
      </w:pPr>
      <w:r>
        <w:t xml:space="preserve">УРОВНИ ТЕРРОРИСТИЧЕСКОЙ ОПАСНОСТИ</w:t>
      </w:r>
    </w:p>
    <w:p>
      <w:pPr>
        <w:pStyle w:val="FirstParagraph"/>
      </w:pPr>
      <w:r>
        <w:t xml:space="preserve">26.07.2018</w:t>
      </w:r>
    </w:p>
    <w:p>
      <w:pPr>
        <w:pStyle w:val="BodyText"/>
      </w:pPr>
      <w:r>
        <w:t xml:space="preserve">В соответствии с Федеральным законом от 6 марта 2006 г. № 35-ФЗ «О противодействии терроризму»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Национальным антитеррористическим комитетом во взаимодействии с федеральными органами исполнительной власти, органами государственной власти субъектов Российской Федерации, органами местного самоуправления и в соответствии с указом Президента Российской Федерации от 14 июня 2012 г. № 851 могут устанавливаться уровни террористической опасности, предусматривающие принятие дополнительных мер по обеспечению безопасности личности, общества и государства.</w:t>
      </w:r>
    </w:p>
    <w:p>
      <w:pPr>
        <w:pStyle w:val="BodyText"/>
      </w:pPr>
      <w:r>
        <w:rPr>
          <w:bCs/>
          <w:b/>
        </w:rPr>
        <w:t xml:space="preserve">На отдельных участках территории Российской Федерации (объектах) могут устанавливаться следующие уровни террористической опасности:</w:t>
      </w:r>
    </w:p>
    <w:p>
      <w:pPr>
        <w:pStyle w:val="BodyText"/>
      </w:pPr>
      <w:r>
        <w:rPr>
          <w:bCs/>
          <w:b/>
        </w:rPr>
        <w:t xml:space="preserve">а) повышенный ("синий")</w:t>
      </w:r>
      <w:r>
        <w:t xml:space="preserve"> </w:t>
      </w:r>
      <w:r>
        <w:t xml:space="preserve">- при наличии требующей подтверждения информации о реальной возможности совершения террористического акта;</w:t>
      </w:r>
    </w:p>
    <w:p>
      <w:pPr>
        <w:pStyle w:val="BodyText"/>
      </w:pPr>
      <w:r>
        <w:rPr>
          <w:bCs/>
          <w:b/>
        </w:rPr>
        <w:t xml:space="preserve">б) высокий ("желтый")</w:t>
      </w:r>
      <w:r>
        <w:t xml:space="preserve"> </w:t>
      </w:r>
      <w:r>
        <w:t xml:space="preserve">- при наличии подтвержденной информации о реальной возможности совершения террористического акта;</w:t>
      </w:r>
    </w:p>
    <w:p>
      <w:pPr>
        <w:pStyle w:val="BodyText"/>
      </w:pPr>
      <w:r>
        <w:rPr>
          <w:bCs/>
          <w:b/>
        </w:rPr>
        <w:t xml:space="preserve">в) критический ("красный")</w:t>
      </w:r>
      <w:r>
        <w:t xml:space="preserve"> </w:t>
      </w:r>
      <w:r>
        <w:t xml:space="preserve">- при наличии информации о совершенном террористическом акте либо о совершении действий, создающих непосредственную угрозу террористического акта.</w:t>
      </w:r>
    </w:p>
    <w:p>
      <w:pPr>
        <w:pStyle w:val="BodyText"/>
      </w:pPr>
      <w:r>
        <w:t xml:space="preserve">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w:t>
      </w:r>
    </w:p>
    <w:p>
      <w:pPr>
        <w:pStyle w:val="BodyText"/>
      </w:pPr>
      <w:r>
        <w:t xml:space="preserve">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p>
    <w:p>
      <w:pPr>
        <w:pStyle w:val="BodyText"/>
      </w:pPr>
      <w:r>
        <w:t xml:space="preserve">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Национального антитеррористического комитета. Он же определяет срок, на который в субъекте Российской Федерации устанавливается указанный уровень террористической опасности, границы участка территории (объектов), в пределах которых (на которых) он устанавливается, и перечень дополнительных мер, предусмотренных</w:t>
      </w:r>
      <w:r>
        <w:t xml:space="preserve"> </w:t>
      </w:r>
      <w:hyperlink r:id="rId20">
        <w:r>
          <w:rPr>
            <w:rStyle w:val="Hyperlink"/>
          </w:rPr>
          <w:t xml:space="preserve">пунктом 9</w:t>
        </w:r>
      </w:hyperlink>
      <w:r>
        <w:t xml:space="preserve"> </w:t>
      </w:r>
      <w:r>
        <w:t xml:space="preserve">настоящего Порядка.</w:t>
      </w:r>
    </w:p>
    <w:p>
      <w:pPr>
        <w:pStyle w:val="BodyText"/>
      </w:pPr>
      <w:r>
        <w:t xml:space="preserve">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 определяются председателем антитеррористической комиссии в субъекте Российской Федерации, если председателем Национального антитеррористического комитета не принято иное решение.</w:t>
      </w:r>
    </w:p>
    <w:p>
      <w:pPr>
        <w:pStyle w:val="BodyText"/>
      </w:pPr>
      <w:r>
        <w:t xml:space="preserve">Председатель Национального антитеррористического комитета при наличии информации может принять решение об установлении, 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 пределах которых (на которых) он устанавливается, и перечень дополнительных мер, предусмотренных</w:t>
      </w:r>
      <w:r>
        <w:t xml:space="preserve"> </w:t>
      </w:r>
      <w:hyperlink r:id="rId20">
        <w:r>
          <w:rPr>
            <w:rStyle w:val="Hyperlink"/>
          </w:rPr>
          <w:t xml:space="preserve">пунктом 9</w:t>
        </w:r>
      </w:hyperlink>
      <w:r>
        <w:t xml:space="preserve"> </w:t>
      </w:r>
      <w:r>
        <w:t xml:space="preserve">настоящего Порядка.</w:t>
      </w:r>
    </w:p>
    <w:p>
      <w:pPr>
        <w:pStyle w:val="BodyText"/>
      </w:pPr>
      <w:r>
        <w:t xml:space="preserve">Уровень террористической опасности может устанавливаться на срок не более 15 суток.</w:t>
      </w:r>
    </w:p>
    <w:p>
      <w:pPr>
        <w:pStyle w:val="BodyText"/>
      </w:pPr>
      <w:r>
        <w:t xml:space="preserve">Решение об установлении, изменении или отмене уровня террористической опасности, а также информация о сроках, на которые устанавливается уровень террористической опасности, и о границах участка территории Российской Федерации (об объекте), в пределах которого (на котором) он устанавливается, подлежат незамедлительному обнародованию через средства массовой информации.</w:t>
      </w:r>
    </w:p>
    <w:p>
      <w:pPr>
        <w:pStyle w:val="BodyText"/>
      </w:pPr>
      <w:r>
        <w:rPr>
          <w:bCs/>
          <w:b/>
        </w:rPr>
        <w:t xml:space="preserve">В соответствии с установленным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pPr>
        <w:pStyle w:val="BodyText"/>
      </w:pPr>
      <w:r>
        <w:rPr>
          <w:bCs/>
          <w:b/>
        </w:rPr>
        <w:t xml:space="preserve">а) при повышенном ("синем") уровне террористической опасности:</w:t>
      </w:r>
    </w:p>
    <w:p>
      <w:pPr>
        <w:pStyle w:val="BodyText"/>
      </w:pPr>
      <w:r>
        <w:t xml:space="preserve">внеплановые мероприятия по проверке информации о возможном совершении террористического акта;</w:t>
      </w:r>
    </w:p>
    <w:p>
      <w:pPr>
        <w:pStyle w:val="BodyText"/>
      </w:pPr>
      <w:r>
        <w:t xml:space="preserve">дополнительный инструктаж нарядов полиции и отдельных категорий военнослужащих, а также персонала и подразделений потенциальных объектов террористических посягательств, осуществляющих функции по локализации кризисных ситуаций, с привлечением в зависимости от полученной информации специалистов в соответствующей области;</w:t>
      </w:r>
    </w:p>
    <w:p>
      <w:pPr>
        <w:pStyle w:val="BodyText"/>
      </w:pPr>
      <w:r>
        <w:t xml:space="preserve">выставление на улицах, площадях, стадионах, в скверах, парках, на транспортных магистралях, вокзалах, в аэропортах, морских и речных портах, местах проведения публичных и массовых мероприятий, в других общественных местах усиленных патрулей, в том числе с привлечением специалистов кинологической службы;</w:t>
      </w:r>
    </w:p>
    <w:p>
      <w:pPr>
        <w:pStyle w:val="BodyText"/>
      </w:pPr>
      <w:r>
        <w:t xml:space="preserve">усиление контроля в ходе проведения досмотровых мероприятий в аэропортах, морских и речных портах, на объектах метрополитена, железнодорожных вокзалах и автовокзалах с использованием специальных технических средств;</w:t>
      </w:r>
    </w:p>
    <w:p>
      <w:pPr>
        <w:pStyle w:val="BodyText"/>
      </w:pPr>
      <w:r>
        <w:t xml:space="preserve">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pPr>
        <w:pStyle w:val="BodyText"/>
      </w:pPr>
      <w:r>
        <w:t xml:space="preserve">проведение инженерно-технической разведки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pPr>
        <w:pStyle w:val="BodyText"/>
      </w:pPr>
      <w:r>
        <w:t xml:space="preserve">своевременное информирование населения о том, как вести себя в условиях угрозы совершения террористического акта;</w:t>
      </w:r>
    </w:p>
    <w:p>
      <w:pPr>
        <w:pStyle w:val="BodyText"/>
      </w:pPr>
      <w:r>
        <w:rPr>
          <w:bCs/>
          <w:b/>
        </w:rPr>
        <w:t xml:space="preserve">б) при высоком ("желтом") уровне террористической опасности (наряду с мерами, принимаемыми при установлении повышенного ("синего") уровня террористической опасности):</w:t>
      </w:r>
    </w:p>
    <w:p>
      <w:pPr>
        <w:pStyle w:val="BodyText"/>
      </w:pPr>
      <w:r>
        <w:t xml:space="preserve">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террористических актов;</w:t>
      </w:r>
    </w:p>
    <w:p>
      <w:pPr>
        <w:pStyle w:val="BodyText"/>
      </w:pPr>
      <w:r>
        <w:t xml:space="preserve">усиление контроля за соблюдением гражданами Российской Федерации, в том числе должностными лицами, порядка регистрации и снятия с регистрационного учета граждан Российской Федерации по месту их пребывания и по месту жительства в пределах участка территории Российской Федерации, на котором установлен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и транзитного проезда через территорию Российской Федерации;</w:t>
      </w:r>
    </w:p>
    <w:p>
      <w:pPr>
        <w:pStyle w:val="BodyText"/>
      </w:pPr>
      <w:r>
        <w:t xml:space="preserve">уточнение расчетов имеющихся у федеральных органов исполнительной власти и органов исполнительной власти субъектов Российской Федерации сил и средств, предназначенных для ликвидации последствий террористических актов, а также технических средств и специального оборудования для проведения спасательных работ;</w:t>
      </w:r>
    </w:p>
    <w:p>
      <w:pPr>
        <w:pStyle w:val="BodyText"/>
      </w:pPr>
      <w:r>
        <w:t xml:space="preserve">проведение дополнительных тренировок по практическому применению сил и средств, привлекаемых в случае возникновения угрозы террористического акта;</w:t>
      </w:r>
    </w:p>
    <w:p>
      <w:pPr>
        <w:pStyle w:val="BodyText"/>
      </w:pPr>
      <w:r>
        <w:t xml:space="preserve">проверка готовности персонала и подразделений потенциальных объектов террористических посягательств, осуществляющих функции по локализации кризисных ситуаций, и отработка их возможных действий по пресечению террористического акта и спасению людей;</w:t>
      </w:r>
    </w:p>
    <w:p>
      <w:pPr>
        <w:pStyle w:val="BodyText"/>
      </w:pPr>
      <w:r>
        <w:t xml:space="preserve">определение мест, пригодных для временного размещения людей, удаленных с отдельных участков местности и объектов, в случае введения правового режима контртеррористической операции, а также источников обеспечения их питанием и одеждой;</w:t>
      </w:r>
    </w:p>
    <w:p>
      <w:pPr>
        <w:pStyle w:val="BodyText"/>
      </w:pPr>
      <w:r>
        <w:t xml:space="preserve">перевод соответствующих медицинских организаций в режим повышенной готовности;</w:t>
      </w:r>
    </w:p>
    <w:p>
      <w:pPr>
        <w:pStyle w:val="BodyText"/>
      </w:pPr>
      <w:r>
        <w:t xml:space="preserve">оценка возможностей медицинских организаций по оказанию медицинской помощи в неотложной или экстренной форме, а также по организации медицинской эвакуации лиц, которым в результате террористического акта может быть причинен физический вред;</w:t>
      </w:r>
    </w:p>
    <w:p>
      <w:pPr>
        <w:pStyle w:val="BodyText"/>
      </w:pPr>
      <w:r>
        <w:rPr>
          <w:bCs/>
          <w:b/>
        </w:rPr>
        <w:t xml:space="preserve">в) при установлении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pPr>
        <w:pStyle w:val="BodyText"/>
      </w:pPr>
      <w:r>
        <w:t xml:space="preserve">приведение в состояние готовности группировки сил и средств, созданной для проведения контртеррористической операции;</w:t>
      </w:r>
    </w:p>
    <w:p>
      <w:pPr>
        <w:pStyle w:val="BodyText"/>
      </w:pPr>
      <w:r>
        <w:t xml:space="preserve">перевод соответствующих медицинских организаций в режим чрезвычайной ситуации;</w:t>
      </w:r>
    </w:p>
    <w:p>
      <w:pPr>
        <w:pStyle w:val="BodyText"/>
      </w:pPr>
      <w:r>
        <w:t xml:space="preserve">усиление охраны наиболее вероятных объектов террористических посягательств;</w:t>
      </w:r>
    </w:p>
    <w:p>
      <w:pPr>
        <w:pStyle w:val="BodyText"/>
      </w:pPr>
      <w:r>
        <w:t xml:space="preserve">создание пунктов временного размещения людей, удаленных с отдельных участков местности и объектов, в случае введения правового режима контртеррористической операции, обеспечение их питанием и одеждой;</w:t>
      </w:r>
    </w:p>
    <w:p>
      <w:pPr>
        <w:pStyle w:val="BodyText"/>
      </w:pPr>
      <w:r>
        <w:t xml:space="preserve">принятие неотложных мер по спасению людей, охране имущества, оставшегося без присмотра, содействие бесперебойной работе спасательных служб;</w:t>
      </w:r>
    </w:p>
    <w:p>
      <w:pPr>
        <w:pStyle w:val="BodyText"/>
      </w:pPr>
      <w:r>
        <w:t xml:space="preserve">приведение в состояние готовности: транспортных средств - к эвакуации людей, медицинских организаций - к приему лиц, которым в результате террористического акта может быть причинен физический и моральный ущерб, центров экстренной психологической помощи - к работе с пострадавшими и их родственниками;</w:t>
      </w:r>
    </w:p>
    <w:p>
      <w:pPr>
        <w:pStyle w:val="BodyText"/>
      </w:pPr>
      <w:r>
        <w:t xml:space="preserve">усиление контроля за передвижением транспортных средств через административные границы субъекта Российской Федерации, на территории которого установлен уровень террористической опасности, проведение досмотра транспортных средств с применением технических средств обнаружения оружия и взрывчатых веществ.</w:t>
      </w:r>
    </w:p>
    <w:p>
      <w:pPr>
        <w:pStyle w:val="BodyText"/>
      </w:pPr>
      <w:r>
        <w:t xml:space="preserve">На участках территории Российской Федерации (объектах), в пределах которых (на которых) установлены уровни террористической опасности, могут применяться как все, так и отдельные вышеперечисленные меры.</w:t>
      </w:r>
    </w:p>
    <w:p>
      <w:pPr>
        <w:pStyle w:val="BodyText"/>
      </w:pPr>
      <w:r>
        <w:br/>
      </w:r>
    </w:p>
    <w:p>
      <w:pPr>
        <w:pStyle w:val="BodyText"/>
      </w:pPr>
      <w:r>
        <w:t xml:space="preserve">Адрес страницы:</w:t>
      </w:r>
      <w:r>
        <w:t xml:space="preserve"> </w:t>
      </w:r>
      <w:hyperlink r:id="rId21">
        <w:r>
          <w:rPr>
            <w:rStyle w:val="Hyperlink"/>
          </w:rPr>
          <w:t xml:space="preserve">http://golyanovo.mos.ru/counter-terrorism/about-terrorism-and-extremism/detail/7472831.html</w:t>
        </w:r>
      </w:hyperlink>
    </w:p>
    <w:p>
      <w:pPr>
        <w:pStyle w:val="BodyText"/>
      </w:pPr>
      <w:hyperlink r:id="rId22">
        <w:r>
          <w:rPr>
            <w:rStyle w:val="Hyperlink"/>
          </w:rPr>
          <w:t xml:space="preserve">Управа района Гольяново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olyanovo.mos.ru" TargetMode="External" /><Relationship Type="http://schemas.openxmlformats.org/officeDocument/2006/relationships/hyperlink" Id="rId21" Target="http://golyanovo.mos.ru/counter-terrorism/about-terrorism-and-extremism/detail/7472831.html" TargetMode="External" /><Relationship Type="http://schemas.openxmlformats.org/officeDocument/2006/relationships/hyperlink" Id="rId20" Target="http://nac.gov.ru/urovni-terroristicheskoy-opasnosti.html#sub_1009" TargetMode="External" /></Relationships>
</file>

<file path=word/_rels/footnotes.xml.rels><?xml version="1.0" encoding="UTF-8"?><Relationships xmlns="http://schemas.openxmlformats.org/package/2006/relationships"><Relationship Type="http://schemas.openxmlformats.org/officeDocument/2006/relationships/hyperlink" Id="rId22" Target="http://golyanovo.mos.ru" TargetMode="External" /><Relationship Type="http://schemas.openxmlformats.org/officeDocument/2006/relationships/hyperlink" Id="rId21" Target="http://golyanovo.mos.ru/counter-terrorism/about-terrorism-and-extremism/detail/7472831.html" TargetMode="External" /><Relationship Type="http://schemas.openxmlformats.org/officeDocument/2006/relationships/hyperlink" Id="rId20" Target="http://nac.gov.ru/urovni-terroristicheskoy-opasnosti.html#sub_100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2025-06-22T03:31:51Z</dcterms:created>
  <dcterms:modified xsi:type="dcterms:W3CDTF">2025-06-22T03:31:51Z</dcterms:modified>
</cp:coreProperties>
</file>

<file path=docProps/custom.xml><?xml version="1.0" encoding="utf-8"?>
<Properties xmlns="http://schemas.openxmlformats.org/officeDocument/2006/custom-properties" xmlns:vt="http://schemas.openxmlformats.org/officeDocument/2006/docPropsVTypes"/>
</file>