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амятка-подозрительный-предмет"/>
    <w:p>
      <w:pPr>
        <w:pStyle w:val="Heading3"/>
      </w:pPr>
      <w:r>
        <w:t xml:space="preserve">Памятка "Подозрительный предмет"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hyperlink r:id="rId20">
        <w:r>
          <w:rPr>
            <w:rStyle w:val="Hyperlink"/>
          </w:rPr>
          <w:t xml:space="preserve">Что делать при обнаружении подозрительного предмета?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http://golyanovo.mos.ru/counter-terrorism/memo-to-the-population-behavior-in-the-event-of-threats-of-a-terrorist-act/detail/10216894.html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amyatka_Podozritelnyj_predmet.pdf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counter-terrorism/memo-to-the-population-behavior-in-the-event-of-threats-of-a-terrorist-act/detail/10216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amyatka_Podozritelnyj_predmet.pdf" TargetMode="Externa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counter-terrorism/memo-to-the-population-behavior-in-the-event-of-threats-of-a-terrorist-act/detail/10216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2025-03-01T00:21:35Z</dcterms:created>
  <dcterms:modified xsi:type="dcterms:W3CDTF">2025-03-01T00:21:35Z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