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6bd2e5d95e40923bb7a01bdc8be63af4be7fac"/>
    <w:p>
      <w:pPr>
        <w:pStyle w:val="Heading3"/>
      </w:pPr>
      <w:r>
        <w:t xml:space="preserve">Не садитесь за руль в состоянии опьянения!</w:t>
      </w:r>
    </w:p>
    <w:p>
      <w:pPr>
        <w:pStyle w:val="FirstParagraph"/>
      </w:pPr>
      <w:r>
        <w:t xml:space="preserve">19.07.2016</w:t>
      </w:r>
    </w:p>
    <w:p>
      <w:pPr>
        <w:pStyle w:val="BodyText"/>
      </w:pPr>
      <w:r>
        <w:drawing>
          <wp:inline>
            <wp:extent cx="5334000" cy="37351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fb2/pamyatka-gibd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51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http://golyanovo.mos.ru/law-enforcement-and-security/information-gibd/pamiatki/detail/3375612.html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law-enforcement-and-security/information-gibd/pamiatki/detail/3375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law-enforcement-and-security/information-gibd/pamiatki/detail/3375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2024-11-14T06:39:08Z</dcterms:created>
  <dcterms:modified xsi:type="dcterms:W3CDTF">2024-11-14T06:39:08Z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