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9b5d3a5c924893b24114bcc0452407594a8d83"/>
    <w:p>
      <w:pPr>
        <w:pStyle w:val="Heading3"/>
      </w:pPr>
      <w:r>
        <w:t xml:space="preserve">Преображенская межрайонная прокуратура разъясняет</w:t>
      </w:r>
    </w:p>
    <w:p>
      <w:pPr>
        <w:pStyle w:val="FirstParagraph"/>
      </w:pPr>
      <w:r>
        <w:t xml:space="preserve">25.06.2025</w:t>
      </w:r>
    </w:p>
    <w:p>
      <w:pPr>
        <w:pStyle w:val="BodyText"/>
      </w:pPr>
      <w:r>
        <w:rPr>
          <w:bCs/>
          <w:b/>
        </w:rPr>
        <w:t xml:space="preserve">Регламент проведения профилактических визитов в рамках контрольно-надзорной деятельности</w:t>
      </w:r>
    </w:p>
    <w:p>
      <w:pPr>
        <w:pStyle w:val="BodyText"/>
      </w:pPr>
      <w:r>
        <w:t xml:space="preserve">На основании Федерального закона от 28.12.2024 №540-ФЗ, внесшего изменения в Федеральный закон от 31.07.2020 №248-ФЗ "О государственном контроле (надзоре) и муниципальном контроле в Российской Федерации", с 28 декабря 2024 года введен новый порядок осуществления профилактических визитов (статьи 52, 52.1, 52.2 в новой редакции).</w:t>
      </w:r>
    </w:p>
    <w:p>
      <w:pPr>
        <w:pStyle w:val="BodyText"/>
      </w:pPr>
      <w:r>
        <w:rPr>
          <w:bCs/>
          <w:b/>
        </w:rPr>
        <w:t xml:space="preserve">1. Общие положения:</w:t>
      </w:r>
    </w:p>
    <w:p>
      <w:pPr>
        <w:pStyle w:val="BodyText"/>
      </w:pPr>
      <w:r>
        <w:t xml:space="preserve">- Профилактические визиты проводятся с обязательным использованием мобильного приложения "Инспектор"</w:t>
      </w:r>
    </w:p>
    <w:p>
      <w:pPr>
        <w:pStyle w:val="BodyText"/>
      </w:pPr>
      <w:r>
        <w:t xml:space="preserve">- В рамках визита осуществляется:</w:t>
      </w:r>
    </w:p>
    <w:p>
      <w:pPr>
        <w:pStyle w:val="BodyText"/>
      </w:pPr>
      <w:r>
        <w:t xml:space="preserve">* осмотр объекта контроля</w:t>
      </w:r>
    </w:p>
    <w:p>
      <w:pPr>
        <w:pStyle w:val="BodyText"/>
      </w:pPr>
      <w:r>
        <w:t xml:space="preserve">* оценка степени соответствия обязательным требованиям</w:t>
      </w:r>
    </w:p>
    <w:p>
      <w:pPr>
        <w:pStyle w:val="BodyText"/>
      </w:pPr>
      <w:r>
        <w:rPr>
          <w:bCs/>
          <w:b/>
        </w:rPr>
        <w:t xml:space="preserve">2. Виды профилактических визитов:</w:t>
      </w:r>
    </w:p>
    <w:p>
      <w:pPr>
        <w:pStyle w:val="BodyText"/>
      </w:pPr>
      <w:r>
        <w:t xml:space="preserve">2.1. По инициативе контролирующего органа:</w:t>
      </w:r>
    </w:p>
    <w:p>
      <w:pPr>
        <w:pStyle w:val="BodyText"/>
      </w:pPr>
      <w:r>
        <w:t xml:space="preserve">- Проводятся в обязательном порядке (отсутствует право отказа)</w:t>
      </w:r>
    </w:p>
    <w:p>
      <w:pPr>
        <w:pStyle w:val="BodyText"/>
      </w:pPr>
      <w:r>
        <w:t xml:space="preserve">- Максимальная продолжительность - 10 рабочих дней</w:t>
      </w:r>
    </w:p>
    <w:p>
      <w:pPr>
        <w:pStyle w:val="BodyText"/>
      </w:pPr>
      <w:r>
        <w:t xml:space="preserve">- Допускается продление срока для организации экспертных исследований</w:t>
      </w:r>
    </w:p>
    <w:p>
      <w:pPr>
        <w:pStyle w:val="BodyText"/>
      </w:pPr>
      <w:r>
        <w:t xml:space="preserve">2.2. По инициативе контролируемого субъекта:</w:t>
      </w:r>
    </w:p>
    <w:p>
      <w:pPr>
        <w:pStyle w:val="BodyText"/>
      </w:pPr>
      <w:r>
        <w:t xml:space="preserve">- Распространяется на:</w:t>
      </w:r>
    </w:p>
    <w:p>
      <w:pPr>
        <w:pStyle w:val="BodyText"/>
      </w:pPr>
      <w:r>
        <w:t xml:space="preserve">* субъекты МСП</w:t>
      </w:r>
    </w:p>
    <w:p>
      <w:pPr>
        <w:pStyle w:val="BodyText"/>
      </w:pPr>
      <w:r>
        <w:t xml:space="preserve">* СО НКО</w:t>
      </w:r>
    </w:p>
    <w:p>
      <w:pPr>
        <w:pStyle w:val="BodyText"/>
      </w:pPr>
      <w:r>
        <w:t xml:space="preserve">* учреждения государственного/муниципального уровня</w:t>
      </w:r>
    </w:p>
    <w:p>
      <w:pPr>
        <w:pStyle w:val="BodyText"/>
      </w:pPr>
      <w:r>
        <w:t xml:space="preserve">- Подача обращения осуществляется через:</w:t>
      </w:r>
    </w:p>
    <w:p>
      <w:pPr>
        <w:pStyle w:val="BodyText"/>
      </w:pPr>
      <w:r>
        <w:t xml:space="preserve">* Единый портал госуслуг</w:t>
      </w:r>
    </w:p>
    <w:p>
      <w:pPr>
        <w:pStyle w:val="BodyText"/>
      </w:pPr>
      <w:r>
        <w:t xml:space="preserve">* Региональные порталы госуслуг</w:t>
      </w:r>
    </w:p>
    <w:p>
      <w:pPr>
        <w:pStyle w:val="BodyText"/>
      </w:pPr>
      <w:r>
        <w:rPr>
          <w:bCs/>
          <w:b/>
        </w:rPr>
        <w:t xml:space="preserve">3. Процедурные требования:</w:t>
      </w:r>
    </w:p>
    <w:p>
      <w:pPr>
        <w:pStyle w:val="BodyText"/>
      </w:pPr>
      <w:r>
        <w:t xml:space="preserve">- Согласование даты проведения в 20-дневный срок с фиксацией факта согласования</w:t>
      </w:r>
    </w:p>
    <w:p>
      <w:pPr>
        <w:pStyle w:val="BodyText"/>
      </w:pPr>
      <w:r>
        <w:t xml:space="preserve">- Основания для отказа:</w:t>
      </w:r>
    </w:p>
    <w:p>
      <w:pPr>
        <w:pStyle w:val="BodyText"/>
      </w:pPr>
      <w:r>
        <w:t xml:space="preserve">* проведение аналогичного визита в течение предшествующих 12 месяцев</w:t>
      </w:r>
    </w:p>
    <w:p>
      <w:pPr>
        <w:pStyle w:val="BodyText"/>
      </w:pPr>
      <w:r>
        <w:t xml:space="preserve">- Права контролируемого субъекта:</w:t>
      </w:r>
    </w:p>
    <w:p>
      <w:pPr>
        <w:pStyle w:val="BodyText"/>
      </w:pPr>
      <w:r>
        <w:t xml:space="preserve">* обжалование решения об отказе</w:t>
      </w:r>
    </w:p>
    <w:p>
      <w:pPr>
        <w:pStyle w:val="BodyText"/>
      </w:pPr>
      <w:r>
        <w:t xml:space="preserve">* отзыв заявления (не менее чем за 5 рабочих дней до назначенной даты)</w:t>
      </w:r>
    </w:p>
    <w:p>
      <w:pPr>
        <w:pStyle w:val="BodyText"/>
      </w:pPr>
      <w:r>
        <w:rPr>
          <w:bCs/>
          <w:b/>
        </w:rPr>
        <w:t xml:space="preserve">4. Правовые последствия:</w:t>
      </w:r>
    </w:p>
    <w:p>
      <w:pPr>
        <w:pStyle w:val="BodyText"/>
      </w:pPr>
      <w:r>
        <w:t xml:space="preserve">- Полученные разъяснения имеют рекомендательный статус</w:t>
      </w:r>
    </w:p>
    <w:p>
      <w:pPr>
        <w:pStyle w:val="BodyText"/>
      </w:pPr>
      <w:r>
        <w:t xml:space="preserve">- Выдача обязательных предписаний не предусмотрена</w:t>
      </w:r>
    </w:p>
    <w:p>
      <w:pPr>
        <w:pStyle w:val="BodyText"/>
      </w:pPr>
      <w:r>
        <w:t xml:space="preserve">- При выявлении непосредственной угрозы:</w:t>
      </w:r>
    </w:p>
    <w:p>
      <w:pPr>
        <w:pStyle w:val="BodyText"/>
      </w:pPr>
      <w:r>
        <w:t xml:space="preserve">* обязательное информирование уполномоченного должностного лица</w:t>
      </w:r>
    </w:p>
    <w:p>
      <w:pPr>
        <w:pStyle w:val="BodyText"/>
      </w:pPr>
      <w:r>
        <w:t xml:space="preserve">* возможна инициация контрольных мероприятий</w:t>
      </w:r>
    </w:p>
    <w:p>
      <w:pPr>
        <w:pStyle w:val="BodyText"/>
      </w:pPr>
      <w:r>
        <w:t xml:space="preserve">Примечание: Внесенные изменения направлены на совершенствование контрольно-надзорной деятельности с акцентом на профилактическую функцию и снижение административной нагрузки на субъекты предпринимательства.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http://golyanovo.mos.ru/law-enforcement-and-security/information-prosecutors/memo/detail/13060493.html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law-enforcement-and-security/information-prosecutors/memo/detail/1306049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law-enforcement-and-security/information-prosecutors/memo/detail/1306049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2025-08-02T07:22:04Z</dcterms:created>
  <dcterms:modified xsi:type="dcterms:W3CDTF">2025-08-02T07:22:04Z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