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afbfb2d186b9be4bad596ed9ca3128b013cbd"/>
    <w:p>
      <w:pPr>
        <w:pStyle w:val="Heading3"/>
      </w:pPr>
      <w:r>
        <w:t xml:space="preserve">«Судом вынесен приговор в отношении лица, совершившего нарушение ПДД, повлекшее по неосторожности тяжкий вред здоровью человека.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Судом рассмотрено уголовное дело по обвинению гражданина Республики Беларусь в совершении преступления, предусмотренного ч. 1 ст. 264 УК РФ. Установлено, что обвиняемый, управляя грузовым автомобилем, следуя по МКАДу, нарушил правила дорожного движения, в результате чего произошло ДТП с участием 4 автомобилей, пассажиру одного из которых причинены серьезные телесные повреждения, квалифицированные судебно медицинской экспертизой как тяжкий вред здоровью. С учетом позиции государственного обвинителя приговором суда обвиняемому назначено наказание в виде штрафа в размере 100 000 рублей с лишением права заниматься деятельностью, связанной с управлением транспортными средствами на срок 1 год».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http://golyanovo.mos.ru/law-enforcement-and-security/information-prosecutors/news-/detail/13063614.html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prosecutors/news-/detail/13063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prosecutors/news-/detail/13063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2025-06-27T01:06:43Z</dcterms:created>
  <dcterms:modified xsi:type="dcterms:W3CDTF">2025-06-27T01:06:43Z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