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80f044f51f648b0ce7db010492275a9f9a7b"/>
    <w:p>
      <w:pPr>
        <w:pStyle w:val="Heading3"/>
      </w:pPr>
      <w:r>
        <w:t xml:space="preserve">«Судом Учреждение признано виновным в совершении административного правонарушения, предусмотренного ст. 17.7 КоАП РФ (умышленное невыполнение требований прокурора, вытекающих из его полномочий, установленных федеральным законом).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 Прокуратурой Восточного административного округа г. Москвы проведения проверка соблюдения Учреждением требований земельного законодательства. По результатам проверки руководителю Учреждения внесено представление об устранении нарушений земельного законодательства, которое в установленный законом срок хотя и было рассмотрено, однако выявленные прокуратурой нарушения Учреждением устранены не были. В связи с указанными обстоятельствами прокуратурой в отношении Учреждения возбуждено дело об административном правонарушении, предусмотренном ст. 17.7 КоАП РФ. По результатам рассмотрения материалов прокурорской проверки судом вынесено постановление о признании Учреждения виновным в совершении административного правонарушения, назначено наказание в виде административного штрафа в размере 50 000 рублей».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http://golyanovo.mos.ru/law-enforcement-and-security/information-prosecutors/news-/detail/13063643.html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2025-06-27T00:45:34Z</dcterms:created>
  <dcterms:modified xsi:type="dcterms:W3CDTF">2025-06-27T00:45:34Z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