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1012429c291c8ccd8b34b13d4dc922e52ba9f"/>
    <w:p>
      <w:pPr>
        <w:pStyle w:val="Heading3"/>
      </w:pPr>
      <w:r>
        <w:t xml:space="preserve">Указ Президента Российской Федерации от 20.03.2025 г. № 159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В целях проведения разъяснительной работы с иностранными гражданами о соблюдении требований действующего законодательства, управа района Гольяново города Москвы рекомендует ознакомится с Указом Президента Российской Федерации от 20.03.2025 г. № 159 «Об особенностях правового положения отдельных категорий иностранных граждан и лиц без гражданства в Российской Федерации, изменении и признании утратившими силу некоторых указов Президента Российской Федерации», а также информирует о необходимости иностранным гражданам, для урегулирования своего правового положения обратиться в ГБУ «Миграционный центр».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http://golyanovo.mos.ru/official/current-information/detail/13077654.html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077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official/current-information/detail/13077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2025-07-01T16:49:09Z</dcterms:created>
  <dcterms:modified xsi:type="dcterms:W3CDTF">2025-07-01T16:49:09Z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