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22a88db63e220f3b4310d84e61d28f192534"/>
    <w:p>
      <w:pPr>
        <w:pStyle w:val="Heading3"/>
      </w:pPr>
      <w:r>
        <w:t xml:space="preserve">Конкурс районного масштаба «Во славу России»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С начала марта 2014 года Детской библиотекой № 115 велась активная подготовка районного конкурса патриотической песни «Во славу России». Около 150 человек изъявили желание принять в нем участие. Диапазон возраста участников был от 5 до 83 лет. Несколько дней, 8, 9, 11 и 15 апреля 2014 года проходили творческие выступления конкурсантов. Начало конкурсным выступлениям дали самые юные участники – воспитанники пяти детских садов. Для них было сделано исключение: жюри и зрители прибыли в один из детских садов. А затем конкурсные выступления проходили в актовом зале Детской библиотеки № 115. Интересным и очень ценным было то, то вслед за своими воспитанниками выступили воспитатели детских садов. Затем эстафету приняло много других индивидуальных участников и целых творческих коллективов. Номинации конкурса предусматривали сольное и коллективное исполнение патриотической песни, исполнение собственной – авторской песни патриотического содержания.</w:t>
      </w:r>
    </w:p>
    <w:p>
      <w:pPr>
        <w:pStyle w:val="BodyText"/>
      </w:pPr>
      <w:r>
        <w:t xml:space="preserve">Подводятся итоги конкурса, но уже можно сказать, что его участники показал, как богат район Гольяново уникальными талантами.</w:t>
      </w:r>
    </w:p>
    <w:p>
      <w:pPr>
        <w:pStyle w:val="BodyText"/>
      </w:pPr>
      <w:r>
        <w:t xml:space="preserve">Конкурс патриотической песни «Во славу России» прошел с огромным успехом и четкой организацией благодаря активной действенной помощи руководства Муниципального округа Гольяново. Кроме того, Глава Муниципального округа Гольяново Четвертков Тимофей Михайлович и его помощник Денисова Наталья Алексеевна посетили почти все конкурсные дни. Это накладывало на участников конкурса особую ответственность за свои выступления. И они прекрасно справились со своими задачами. Наилучшие выступления войдут в программу Гала-концерта, который состоится 29 апреля 2014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http://golyanovo.mos.ru/presscenter/news/detail/1010048.html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0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10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2024-05-31T22:13:29Z</dcterms:created>
  <dcterms:modified xsi:type="dcterms:W3CDTF">2024-05-31T22:13:29Z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