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473b12d3c486c52697640ec7c93dd3615aa83f"/>
    <w:p>
      <w:pPr>
        <w:pStyle w:val="Heading3"/>
      </w:pPr>
      <w:r>
        <w:t xml:space="preserve">Запрет курения табака на отдельных территориях, в помещениях и на объектах</w:t>
      </w:r>
    </w:p>
    <w:p>
      <w:pPr>
        <w:pStyle w:val="FirstParagraph"/>
      </w:pPr>
      <w:r>
        <w:t xml:space="preserve">20.05.2014</w:t>
      </w:r>
    </w:p>
    <w:p>
      <w:pPr>
        <w:pStyle w:val="BodyText"/>
      </w:pPr>
      <w:r>
        <w:t xml:space="preserve">В соответствии со статьей 25 Федерального закона от 23.02.2013 года</w:t>
      </w:r>
      <w:r>
        <w:t xml:space="preserve"> </w:t>
      </w:r>
      <w:r>
        <w:rPr>
          <w:bCs/>
          <w:b/>
        </w:rPr>
        <w:t xml:space="preserve">№ 15-ФЗ «Об охране здоровья граждан от воздействия окружающего табачного дыма и последствий потребления табака» пункты 3, 5, 6 и 12 части 1 статьи 12, часть 3 статьи 16, части 1-5, пункт 3 части 7 статьи 19 настоящего Федерального закона вступают в силу с 1 июня 2014 года:</w:t>
      </w:r>
    </w:p>
    <w:p>
      <w:pPr>
        <w:pStyle w:val="BodyText"/>
      </w:pPr>
      <w:r>
        <w:rPr>
          <w:bCs/>
          <w:b/>
        </w:rPr>
        <w:t xml:space="preserve">Статья 12. Запрет курения табака на отдельных территориях, в помещениях и на объектах.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Для предотвращения воздействия окружающего табачного дыма на здоровье человека запрещается курение табака (за исключением случаев, установленных</w:t>
      </w:r>
      <w:r>
        <w:t xml:space="preserve"> </w:t>
      </w:r>
      <w:hyperlink r:id="rId20">
        <w:r>
          <w:rPr>
            <w:rStyle w:val="Hyperlink"/>
          </w:rPr>
          <w:t xml:space="preserve">частью 2</w:t>
        </w:r>
      </w:hyperlink>
      <w:r>
        <w:t xml:space="preserve"> </w:t>
      </w:r>
      <w:r>
        <w:t xml:space="preserve">настоящей статьи):</w:t>
      </w:r>
    </w:p>
    <w:p>
      <w:pPr>
        <w:pStyle w:val="BodyText"/>
      </w:pPr>
      <w:r>
        <w:rPr>
          <w:bCs/>
          <w:b/>
        </w:rPr>
        <w:t xml:space="preserve">3)</w:t>
      </w:r>
      <w:r>
        <w:t xml:space="preserve"> </w:t>
      </w:r>
      <w:r>
        <w:t xml:space="preserve">в поездах дальнего следования, на судах, находящихся в дальнем плавании, при оказании услуг по перевозкам пассажиров;</w:t>
      </w:r>
    </w:p>
    <w:p>
      <w:pPr>
        <w:pStyle w:val="BodyText"/>
      </w:pPr>
      <w:r>
        <w:rPr>
          <w:bCs/>
          <w:b/>
        </w:rPr>
        <w:t xml:space="preserve">5)</w:t>
      </w:r>
      <w:r>
        <w:t xml:space="preserve"> </w:t>
      </w:r>
      <w:r>
        <w:t xml:space="preserve">в помещениях, предназначенных для предоставления жилищных услуг, гостиничных услуг, услуг по временному размещению и (или) обеспечению временного проживания;</w:t>
      </w:r>
    </w:p>
    <w:p>
      <w:pPr>
        <w:pStyle w:val="BodyText"/>
      </w:pPr>
      <w:r>
        <w:rPr>
          <w:bCs/>
          <w:b/>
        </w:rPr>
        <w:t xml:space="preserve">6)</w:t>
      </w:r>
      <w:r>
        <w:t xml:space="preserve"> </w:t>
      </w:r>
      <w:r>
        <w:t xml:space="preserve">в помещениях, предназначенных для предоставления бытовых услуг, услуг торговли, общественного питания, помещениях рынков, в нестационарных торговых объектах;</w:t>
      </w:r>
    </w:p>
    <w:p>
      <w:pPr>
        <w:pStyle w:val="BodyText"/>
      </w:pPr>
      <w:r>
        <w:rPr>
          <w:bCs/>
          <w:b/>
        </w:rPr>
        <w:t xml:space="preserve">12)</w:t>
      </w:r>
      <w:r>
        <w:t xml:space="preserve"> </w:t>
      </w:r>
      <w:r>
        <w:t xml:space="preserve">на пассажирских платформах, используемых исключительно для посадки в поезда, высадки из поездов пассажиров при их перевозках в пригородном сообщении;</w:t>
      </w:r>
    </w:p>
    <w:p>
      <w:pPr>
        <w:pStyle w:val="BodyText"/>
      </w:pPr>
      <w:r>
        <w:rPr>
          <w:bCs/>
          <w:b/>
        </w:rPr>
        <w:t xml:space="preserve">Статья 16. Запрет рекламы и стимулирования продажи табака, спонсорства табака.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При демонстрации аудиовизуальных произведений, включая теле- и видеофильмы, теле-, видео- и кинохроникальных программ, в которых осуществляется демонстрация табачных изделий и процесса потребления табака, вещатель или организатор демонстрации должен обеспечить трансляцию социальной рекламы о вреде потребления табака непосредственно перед началом или во время демонстрации такого произведения, такой программы.</w:t>
      </w:r>
    </w:p>
    <w:p>
      <w:pPr>
        <w:pStyle w:val="BodyText"/>
      </w:pPr>
      <w:r>
        <w:rPr>
          <w:bCs/>
          <w:b/>
        </w:rPr>
        <w:t xml:space="preserve">Статья 19. Ограничения торговли табачной продукцией и табачными изделиями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Розничная торговля табачной продукцией осуществляется в магазинах и павильонах. В целях настоящей статьи под магазином понимается здание или его часть, специально оборудованные, предназначенные для продажи товаров и оказания услуг покупателям и обеспеченные торговыми, подсобными, административно-бытовыми помещениями, а также помещениями для приема, хранения товаров и подготовки их к продаже, под павильоном понимается строение, имеющее торговый зал и рассчитанное на одно рабочее место или несколько рабочих мест.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В случае отсутствия в населенном пункте магазинов и павильонов допускается торговля табачной продукцией в других торговых объектах или развозная торговля табачной продукцией.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Запрещается розничная торговля табачной продукцией в торговых объектах, не предусмотренных</w:t>
      </w:r>
      <w:r>
        <w:t xml:space="preserve"> </w:t>
      </w:r>
      <w:hyperlink r:id="rId21">
        <w:r>
          <w:rPr>
            <w:rStyle w:val="Hyperlink"/>
          </w:rPr>
          <w:t xml:space="preserve">частями 1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2</w:t>
        </w:r>
      </w:hyperlink>
      <w:r>
        <w:t xml:space="preserve"> </w:t>
      </w:r>
      <w:r>
        <w:t xml:space="preserve">настоящей статьи, на ярмарках, выставках, путем развозной и разносной торговли, дистанционным способом продажи, с использованием автоматов и иными способами, за исключением развозной торговли в случае, предусмотренном</w:t>
      </w:r>
      <w:r>
        <w:t xml:space="preserve"> </w:t>
      </w:r>
      <w:hyperlink r:id="rId22">
        <w:r>
          <w:rPr>
            <w:rStyle w:val="Hyperlink"/>
          </w:rPr>
          <w:t xml:space="preserve">частью 2</w:t>
        </w:r>
      </w:hyperlink>
      <w:r>
        <w:t xml:space="preserve"> </w:t>
      </w:r>
      <w:r>
        <w:t xml:space="preserve">настоящей статьи.</w:t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Запрещается розничная торговля табачной продукцией с выкладкой и демонстрацией табачной продукции в торговом объекте, за исключением случая, предусмотренного</w:t>
      </w:r>
      <w:r>
        <w:t xml:space="preserve"> </w:t>
      </w:r>
      <w:hyperlink r:id="rId23">
        <w:r>
          <w:rPr>
            <w:rStyle w:val="Hyperlink"/>
          </w:rPr>
          <w:t xml:space="preserve">частью 5</w:t>
        </w:r>
      </w:hyperlink>
      <w:r>
        <w:t xml:space="preserve"> </w:t>
      </w:r>
      <w:r>
        <w:t xml:space="preserve">настоящей статьи.</w:t>
      </w:r>
    </w:p>
    <w:p>
      <w:pPr>
        <w:pStyle w:val="BodyText"/>
      </w:pPr>
      <w:r>
        <w:rPr>
          <w:bCs/>
          <w:b/>
        </w:rPr>
        <w:t xml:space="preserve">5.</w:t>
      </w:r>
      <w:r>
        <w:t xml:space="preserve"> </w:t>
      </w:r>
      <w:r>
        <w:t xml:space="preserve">Информация о табачной продукции, предлагаемой для розничной торговли, доводится продавцом в соответствии с</w:t>
      </w:r>
      <w:r>
        <w:t xml:space="preserve"> </w:t>
      </w:r>
      <w:hyperlink r:id="rId24">
        <w:r>
          <w:rPr>
            <w:rStyle w:val="Hyperlink"/>
          </w:rPr>
          <w:t xml:space="preserve">законодательством</w:t>
        </w:r>
      </w:hyperlink>
      <w:r>
        <w:t xml:space="preserve"> </w:t>
      </w:r>
      <w:r>
        <w:t xml:space="preserve">Российской Федерации о защите прав потребителей до сведения покупателей посредством размещения в торговом зале перечня продаваемой табачной продукции, текст которого выполнен буквами одинакового размера черного цвета на белом фоне и который составлен в алфавитном порядке, с указанием цены продаваемой табачной продукции без использования каких-либо графических изображений и рисунков. Демонстрация табачной продукции покупателю в торговом объекте может осуществляться по его требованию после ознакомления с перечнем продаваемой табачной продукции с учетом требований</w:t>
      </w:r>
      <w:r>
        <w:t xml:space="preserve"> </w:t>
      </w:r>
      <w:hyperlink r:id="rId25">
        <w:r>
          <w:rPr>
            <w:rStyle w:val="Hyperlink"/>
          </w:rPr>
          <w:t xml:space="preserve">статьи 20</w:t>
        </w:r>
      </w:hyperlink>
      <w:r>
        <w:t xml:space="preserve"> </w:t>
      </w:r>
      <w:r>
        <w:t xml:space="preserve">настоящего Федерального закона.</w:t>
      </w:r>
    </w:p>
    <w:p>
      <w:pPr>
        <w:pStyle w:val="BodyText"/>
      </w:pPr>
      <w:r>
        <w:rPr>
          <w:bCs/>
          <w:b/>
        </w:rPr>
        <w:t xml:space="preserve">7.</w:t>
      </w:r>
      <w:r>
        <w:t xml:space="preserve"> </w:t>
      </w:r>
      <w:r>
        <w:t xml:space="preserve">Запрещается розничная торговля табачной продукцией в следующих местах:</w:t>
      </w:r>
    </w:p>
    <w:p>
      <w:pPr>
        <w:pStyle w:val="BodyText"/>
      </w:pPr>
      <w:r>
        <w:rPr>
          <w:bCs/>
          <w:b/>
        </w:rPr>
        <w:t xml:space="preserve">3)</w:t>
      </w:r>
      <w:r>
        <w:t xml:space="preserve"> </w:t>
      </w:r>
      <w:r>
        <w:t xml:space="preserve">на территориях и в помещениях (за исключением магазинов беспошлинной торговли) железнодорожных вокзалов, автовокзалов, аэропортов, морских портов, речных портов, на станциях метрополитенов, предназначенных для оказания услуг по перевозкам пассажиров, в помещениях, предназначенных для предоставления жилищных услуг, гостиничных услуг, услуг по временному размещению и (или) обеспечению временного проживания, бытовых услуг.</w:t>
      </w:r>
    </w:p>
    <w:p>
      <w:pPr>
        <w:pStyle w:val="BodyText"/>
      </w:pPr>
      <w:r>
        <w:t xml:space="preserve">Полный текст Федерального закона от 23.02.2013 года № 15-ФЗ «Об охране здоровья граждан от воздействия окружающего табачного дыма и последствий потребления табака» опубликован на официальном сайте управы района Преображенское.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http://golyanovo.mos.ru/presscenter/news/detail/1047006.html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consultantplus://offline/ref=C7D3AF2C6EE2DE7C975644044BBA206DE586D210439B573731BF4FE687E3838CD6152E4FC70A30DFW4g4M" TargetMode="External" /><Relationship Type="http://schemas.openxmlformats.org/officeDocument/2006/relationships/hyperlink" Id="rId20" Target="file:///D:/X-Change/%D0%A1%D0%B0%D0%B9%D1%82%D1%8B%20%D1%83%D0%BF%D1%80%D0%B0%D0%B2/2014/%D0%92%D0%B5%D1%88/%D0%92%D0%B5%D1%88%2020.05.docx#Par155" TargetMode="External" /><Relationship Type="http://schemas.openxmlformats.org/officeDocument/2006/relationships/hyperlink" Id="rId21" Target="file:///D:/X-Change/%D0%A1%D0%B0%D0%B9%D1%82%D1%8B%20%D1%83%D0%BF%D1%80%D0%B0%D0%B2/2014/%D0%92%D0%B5%D1%88/%D0%92%D0%B5%D1%88%2020.05.docx#Par250" TargetMode="External" /><Relationship Type="http://schemas.openxmlformats.org/officeDocument/2006/relationships/hyperlink" Id="rId22" Target="file:///D:/X-Change/%D0%A1%D0%B0%D0%B9%D1%82%D1%8B%20%D1%83%D0%BF%D1%80%D0%B0%D0%B2/2014/%D0%92%D0%B5%D1%88/%D0%92%D0%B5%D1%88%2020.05.docx#Par254" TargetMode="External" /><Relationship Type="http://schemas.openxmlformats.org/officeDocument/2006/relationships/hyperlink" Id="rId23" Target="file:///D:/X-Change/%D0%A1%D0%B0%D0%B9%D1%82%D1%8B%20%D1%83%D0%BF%D1%80%D0%B0%D0%B2/2014/%D0%92%D0%B5%D1%88/%D0%92%D0%B5%D1%88%2020.05.docx#Par266" TargetMode="External" /><Relationship Type="http://schemas.openxmlformats.org/officeDocument/2006/relationships/hyperlink" Id="rId25" Target="file:///D:/X-Change/%D0%A1%D0%B0%D0%B9%D1%82%D1%8B%20%D1%83%D0%BF%D1%80%D0%B0%D0%B2/2014/%D0%92%D0%B5%D1%88/%D0%92%D0%B5%D1%88%2020.05.docx#Par277" TargetMode="External" /><Relationship Type="http://schemas.openxmlformats.org/officeDocument/2006/relationships/hyperlink" Id="rId27" Target="http://golyanovo.mos.ru" TargetMode="External" /><Relationship Type="http://schemas.openxmlformats.org/officeDocument/2006/relationships/hyperlink" Id="rId26" Target="http://golyanovo.mos.ru/presscenter/news/detail/1047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consultantplus://offline/ref=C7D3AF2C6EE2DE7C975644044BBA206DE586D210439B573731BF4FE687E3838CD6152E4FC70A30DFW4g4M" TargetMode="External" /><Relationship Type="http://schemas.openxmlformats.org/officeDocument/2006/relationships/hyperlink" Id="rId20" Target="file:///D:/X-Change/%D0%A1%D0%B0%D0%B9%D1%82%D1%8B%20%D1%83%D0%BF%D1%80%D0%B0%D0%B2/2014/%D0%92%D0%B5%D1%88/%D0%92%D0%B5%D1%88%2020.05.docx#Par155" TargetMode="External" /><Relationship Type="http://schemas.openxmlformats.org/officeDocument/2006/relationships/hyperlink" Id="rId21" Target="file:///D:/X-Change/%D0%A1%D0%B0%D0%B9%D1%82%D1%8B%20%D1%83%D0%BF%D1%80%D0%B0%D0%B2/2014/%D0%92%D0%B5%D1%88/%D0%92%D0%B5%D1%88%2020.05.docx#Par250" TargetMode="External" /><Relationship Type="http://schemas.openxmlformats.org/officeDocument/2006/relationships/hyperlink" Id="rId22" Target="file:///D:/X-Change/%D0%A1%D0%B0%D0%B9%D1%82%D1%8B%20%D1%83%D0%BF%D1%80%D0%B0%D0%B2/2014/%D0%92%D0%B5%D1%88/%D0%92%D0%B5%D1%88%2020.05.docx#Par254" TargetMode="External" /><Relationship Type="http://schemas.openxmlformats.org/officeDocument/2006/relationships/hyperlink" Id="rId23" Target="file:///D:/X-Change/%D0%A1%D0%B0%D0%B9%D1%82%D1%8B%20%D1%83%D0%BF%D1%80%D0%B0%D0%B2/2014/%D0%92%D0%B5%D1%88/%D0%92%D0%B5%D1%88%2020.05.docx#Par266" TargetMode="External" /><Relationship Type="http://schemas.openxmlformats.org/officeDocument/2006/relationships/hyperlink" Id="rId25" Target="file:///D:/X-Change/%D0%A1%D0%B0%D0%B9%D1%82%D1%8B%20%D1%83%D0%BF%D1%80%D0%B0%D0%B2/2014/%D0%92%D0%B5%D1%88/%D0%92%D0%B5%D1%88%2020.05.docx#Par277" TargetMode="External" /><Relationship Type="http://schemas.openxmlformats.org/officeDocument/2006/relationships/hyperlink" Id="rId27" Target="http://golyanovo.mos.ru" TargetMode="External" /><Relationship Type="http://schemas.openxmlformats.org/officeDocument/2006/relationships/hyperlink" Id="rId26" Target="http://golyanovo.mos.ru/presscenter/news/detail/1047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2024-11-14T06:08:57Z</dcterms:created>
  <dcterms:modified xsi:type="dcterms:W3CDTF">2024-11-14T06:08:57Z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