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9e1d46323afe6f9f442adadfd84c8e8bac9a"/>
    <w:p>
      <w:pPr>
        <w:pStyle w:val="Heading3"/>
      </w:pPr>
      <w:r>
        <w:t xml:space="preserve">В столице действует новый закон о благоустройстве</w:t>
      </w:r>
    </w:p>
    <w:p>
      <w:pPr>
        <w:pStyle w:val="FirstParagraph"/>
      </w:pPr>
      <w:r>
        <w:t xml:space="preserve">24.06.2014</w:t>
      </w:r>
    </w:p>
    <w:p>
      <w:pPr>
        <w:pStyle w:val="BodyText"/>
      </w:pPr>
      <w:r>
        <w:t xml:space="preserve">С мая месяца в столице вступил в силу новый закон «О благоустройстве в городе Москве» №18 от 30.04.2014г., призванный урегулировать общественные отношения в данной сфере, и направленный на создание благоприятной среды для москвичей.</w:t>
      </w:r>
    </w:p>
    <w:p>
      <w:pPr>
        <w:pStyle w:val="BodyText"/>
      </w:pPr>
      <w:r>
        <w:t xml:space="preserve">Закон определяет правила благоустройства в Москве. Он регламентирует проведение ряда мероприятий, осуществляемых с установленными нормами, требованиями и правилами по созданию, содержанию и облагораживанию объектов благоустройства. Также он предусматривает проведение работ, направленных на повышение безопасности и комфортности условий проживания граждан в городе Москве, поддержание и улучшение эстетического состояния городской территории.</w:t>
      </w:r>
    </w:p>
    <w:p>
      <w:pPr>
        <w:pStyle w:val="BodyText"/>
      </w:pPr>
      <w:r>
        <w:t xml:space="preserve">Объектами благоустройства являются не только земельные участки (в частной, муниципальной, федеральной собственности), но и внешние поверхности зданий, информационные конструкции, произведение монументально-декоративного искусства, летние кафе. Обязанности по содержанию объектов и облагораживанию территорий возложены на собственников (правообладателей) зданий, земельных участков и сооружений. Нормы и требования к проведению работ по благоустройству территории столицы устанавливаются Правительством Москвы.</w:t>
      </w:r>
    </w:p>
    <w:p>
      <w:pPr>
        <w:pStyle w:val="BodyText"/>
      </w:pPr>
      <w:r>
        <w:t xml:space="preserve">Согласно нормативно-правовому документу, брошенные транспортные средства должны перемещать на специально организованные площадки в сроки, установленные столичными властями.</w:t>
      </w:r>
    </w:p>
    <w:p>
      <w:pPr>
        <w:pStyle w:val="BodyText"/>
      </w:pPr>
      <w:r>
        <w:t xml:space="preserve">В соответствии с законом, работы по благоустройству должны осуществляться с учетом необходимости обеспечения сохранности внешнего архитектурно-художественного облика города Москвы. Размещение некапитальных объектов (киосков, кафе) возможно только в соответствии с утвержденными схемами или проектами. После прекращения действия права на размещение объекта, собственники должны вывезти их в 7-днейвный срок. Закон также обязывает владельцев капитальных зданий содержать внешние витрины в чистоте и запрещает закрывать их щитами, плакатами или пленкой, за исключением случаев, установленных нормативными правовыми актами города Москвы.</w:t>
      </w:r>
    </w:p>
    <w:p>
      <w:pPr>
        <w:pStyle w:val="BodyText"/>
      </w:pPr>
      <w:r>
        <w:t xml:space="preserve">До 1 июля 2015 года все нормативно-правовые акты города Москвы, регулирующие отношения в области благоустройства, должны быть приведены в соответствие с новым законом. При этом действие документа не распространяется на отношения по строительству, реконструкции объектов капитального строительства.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http://golyanovo.mos.ru/presscenter/news/detail/1091614.html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1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1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2024-09-15T08:45:13Z</dcterms:created>
  <dcterms:modified xsi:type="dcterms:W3CDTF">2024-09-15T08:45:13Z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