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естационарные-торговые-объекты"/>
    <w:p>
      <w:pPr>
        <w:pStyle w:val="Heading3"/>
      </w:pPr>
      <w:r>
        <w:t xml:space="preserve">Нестационарные торговые объекты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hyperlink r:id="rId20">
        <w:r>
          <w:rPr>
            <w:rStyle w:val="Hyperlink"/>
          </w:rPr>
          <w:t xml:space="preserve">Нестационарные торговые объекты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http://golyanovo.mos.ru/presscenter/news/detail/1109767.html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09767.html" TargetMode="External" /><Relationship Type="http://schemas.openxmlformats.org/officeDocument/2006/relationships/hyperlink" Id="rId20" Target="http://vao.mos.ru/deyatelnost/potrebitelskiy_rynok/consumers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09767.html" TargetMode="External" /><Relationship Type="http://schemas.openxmlformats.org/officeDocument/2006/relationships/hyperlink" Id="rId20" Target="http://vao.mos.ru/deyatelnost/potrebitelskiy_rynok/consumers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2023-08-15T12:50:59Z</dcterms:created>
  <dcterms:modified xsi:type="dcterms:W3CDTF">2023-08-15T12:50:59Z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