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района-гольяново"/>
    <w:p>
      <w:pPr>
        <w:pStyle w:val="Heading3"/>
      </w:pPr>
      <w:r>
        <w:t xml:space="preserve">Уважаемые жители района Гольяново!</w:t>
      </w:r>
    </w:p>
    <w:p>
      <w:pPr>
        <w:pStyle w:val="FirstParagraph"/>
      </w:pPr>
      <w:r>
        <w:t xml:space="preserve">21.08.2014</w:t>
      </w:r>
    </w:p>
    <w:p>
      <w:pPr>
        <w:pStyle w:val="BodyText"/>
      </w:pPr>
      <w:r>
        <w:t xml:space="preserve">Приглашаем вас 21 августа на торжественное открытие пешеходной зоны по адресу: ул. Байкальская, д. 38, корп. 2</w:t>
      </w:r>
      <w:r>
        <w:br/>
      </w:r>
      <w:r>
        <w:t xml:space="preserve">Начало мероприятия: 19.00</w:t>
      </w:r>
    </w:p>
    <w:p>
      <w:pPr>
        <w:pStyle w:val="BodyText"/>
      </w:pPr>
      <w:r>
        <w:t xml:space="preserve">Управа района Гольяново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http://golyanovo.mos.ru/presscenter/news/detail/1219206.html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19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19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2023-07-25T06:38:29Z</dcterms:created>
  <dcterms:modified xsi:type="dcterms:W3CDTF">2023-07-25T06:38:29Z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