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d0da2a74bcaa243ebe22fec1fa2fa668bf632"/>
    <w:p>
      <w:pPr>
        <w:pStyle w:val="Heading3"/>
      </w:pPr>
      <w:r>
        <w:t xml:space="preserve">Результаты проверок деятельности ярмарок выходного дня</w:t>
      </w:r>
    </w:p>
    <w:p>
      <w:pPr>
        <w:pStyle w:val="FirstParagraph"/>
      </w:pPr>
      <w:r>
        <w:t xml:space="preserve">28.08.2014</w:t>
      </w:r>
    </w:p>
    <w:p>
      <w:pPr>
        <w:pStyle w:val="BodyText"/>
      </w:pPr>
      <w:r>
        <w:t xml:space="preserve">Управление Роспотребнадзора по городу Москве (далее Управление) сообщает, что специалистами Управления в июне – июле 2014 года согласно требованиям прокуратур административных округов г. Москвы были проведены проверки деятельности ярмарок выходного дня, расположенных на территории города Москвы.</w:t>
      </w:r>
    </w:p>
    <w:p>
      <w:pPr>
        <w:pStyle w:val="BodyText"/>
      </w:pPr>
      <w:r>
        <w:t xml:space="preserve">Из 123 ярмарок выходного дня было проверено 95 ярмарок, из них в 68 (72%) были выявлены нарушения санитарного законодательства в сфере защиты прав потребителей.</w:t>
      </w:r>
    </w:p>
    <w:p>
      <w:pPr>
        <w:pStyle w:val="BodyText"/>
      </w:pPr>
      <w:r>
        <w:t xml:space="preserve">В ходе проверок были выявлены следующие нарушения:</w:t>
      </w:r>
    </w:p>
    <w:p>
      <w:pPr>
        <w:pStyle w:val="BodyText"/>
      </w:pPr>
      <w:r>
        <w:t xml:space="preserve">¾ ярмарки не подключены к стационарной системе электроснабжения, работают на дизельных генераторах, что не может гарантировать бесперебойную работу торгово-технологического и холодильного оборудования и обеспечить необходимую температуру хранения скоропортящейся продукции (+4 ±2гр. С) -10% ярмарок;</w:t>
      </w:r>
    </w:p>
    <w:p>
      <w:pPr>
        <w:pStyle w:val="BodyText"/>
      </w:pPr>
      <w:r>
        <w:t xml:space="preserve">¾ реализация скоропортящейся продукции осуществлялась при температуре +10гр. С +16 гр. С -10% ярмарок;</w:t>
      </w:r>
    </w:p>
    <w:p>
      <w:pPr>
        <w:pStyle w:val="BodyText"/>
      </w:pPr>
      <w:r>
        <w:t xml:space="preserve">¾ используется морально устаревшее холодильное оборудование в неудовлетворительном санитарно-техническом состоянии , не оснащенное термометрами, не обеспечивающее необходимые температурные режимы хранения (+4 ±2гр. С) -33% ярмарок;</w:t>
      </w:r>
    </w:p>
    <w:p>
      <w:pPr>
        <w:pStyle w:val="BodyText"/>
      </w:pPr>
      <w:r>
        <w:t xml:space="preserve">¾ количество единиц холодильного оборудования (объем), имеющегося на ярмарках, не соответствовал объемам скоропортящейся продукции, заводимой фермерами на 3 дня -13% ярмарок;</w:t>
      </w:r>
    </w:p>
    <w:p>
      <w:pPr>
        <w:pStyle w:val="BodyText"/>
      </w:pPr>
      <w:r>
        <w:t xml:space="preserve">¾ реализовывалась пищевая продукция в нарушении «Перечня товаров, подлежащих продаже на ярмарках» (Постановление Правительства Москвы от 04.05.2011 №172 «Об утверждении порядка организации ярмарок и продажи товаров (выполнения работ, оказания услуг) на них на территории города Москвы»); кроме того, осуществлялась реализация нефасованной скоропортящейся продукции в развес, при отсутствии для этого условий – 17% ярмарок;</w:t>
      </w:r>
    </w:p>
    <w:p>
      <w:pPr>
        <w:pStyle w:val="BodyText"/>
      </w:pPr>
      <w:r>
        <w:t xml:space="preserve">¾ неудовлетворительное санитарное содержание территории ярмарки, туалетных кабин, торговых мест – 16% ярмарок;</w:t>
      </w:r>
    </w:p>
    <w:p>
      <w:pPr>
        <w:pStyle w:val="BodyText"/>
      </w:pPr>
      <w:r>
        <w:t xml:space="preserve">¾ мусорные контейнеры переполнены или отсутствовали, не соблюдались условия сбора и хранения мусора – 9% ярмарок;</w:t>
      </w:r>
    </w:p>
    <w:p>
      <w:pPr>
        <w:pStyle w:val="BodyText"/>
      </w:pPr>
      <w:r>
        <w:t xml:space="preserve">¾ отсутствовала вывеска с наименованием организации, местом нахождения, режимом работы, полная информация для покупателей на вывесках торгующих организаций – 15% ярмарок;</w:t>
      </w:r>
    </w:p>
    <w:p>
      <w:pPr>
        <w:pStyle w:val="BodyText"/>
      </w:pPr>
      <w:r>
        <w:t xml:space="preserve">¾ отсутствовали ценники на реализуемый товар – 9% ярмарок;</w:t>
      </w:r>
    </w:p>
    <w:p>
      <w:pPr>
        <w:pStyle w:val="BodyText"/>
      </w:pPr>
      <w:r>
        <w:t xml:space="preserve">¾ пищевые продукты реализовывались без документов, подтверждающих их качество безопасность – 22% ярмарок;</w:t>
      </w:r>
    </w:p>
    <w:p>
      <w:pPr>
        <w:pStyle w:val="BodyText"/>
      </w:pPr>
      <w:r>
        <w:t xml:space="preserve">¾ отсутствовала маркировка на единицах упаковки продукции – 22% ярмарок;</w:t>
      </w:r>
    </w:p>
    <w:p>
      <w:pPr>
        <w:pStyle w:val="BodyText"/>
      </w:pPr>
      <w:r>
        <w:t xml:space="preserve">¾ отсутствовали условия для соблюдения личной гигиены продавцов торговых мест – 5% ярмарок;</w:t>
      </w:r>
    </w:p>
    <w:p>
      <w:pPr>
        <w:pStyle w:val="BodyText"/>
      </w:pPr>
      <w:r>
        <w:t xml:space="preserve">¾ нарушались сроки прохождения периодических медицинских осмотров и гигиенической аттестации продавцами – 16% ярмарок.</w:t>
      </w:r>
    </w:p>
    <w:p>
      <w:pPr>
        <w:pStyle w:val="BodyText"/>
      </w:pPr>
      <w:r>
        <w:t xml:space="preserve">Перечисленные нарушения свидетельствуют об отсутствии должностного контроля со стороны управляющих компаний ярмарок – ГБУ «Автомобильные дороги» в административных округах города Москвы, исполнительных органов государственной власти и органов местного самоуправления за выполнением требований санитарного законодательства, законодательства в сфере защиты прав потребителей и Постановления Правительства Москвы от 04.05.2011 №172-ПП «Об утверждении порядка организации ярмарок и продажи товаров (выполнении работ. Оказания услуг) на них на территории города Москвы».</w:t>
      </w:r>
    </w:p>
    <w:p>
      <w:pPr>
        <w:pStyle w:val="BodyText"/>
      </w:pPr>
      <w:r>
        <w:t xml:space="preserve">В связи с выявленными нарушениями по результатам проверок вынесено:</w:t>
      </w:r>
    </w:p>
    <w:p>
      <w:pPr>
        <w:pStyle w:val="BodyText"/>
      </w:pPr>
      <w:r>
        <w:t xml:space="preserve">– 110 постановлений по делам об административных правонарушениях по статьям: 6.3; 6.4; 8.2; ч.1 14.8; 14.15, ч.1 14.5 Кодекса Российской Федерации об административных правонарушениях (77 – на юридическое лицо и ИП, 28 – на должностное лицо, 5 – на граждан) на общую сумму 1 878 000 рублей;</w:t>
      </w:r>
    </w:p>
    <w:p>
      <w:pPr>
        <w:pStyle w:val="BodyText"/>
      </w:pPr>
      <w:r>
        <w:t xml:space="preserve">– 5 дел об административных правонарушениях, возбужденных по ст. 14.43 ч. 1, 14.45 в отношении юридических лиц и индивидуальных предпринимателей, направлены на рассмотрение в судебные органы.</w:t>
      </w:r>
    </w:p>
    <w:p>
      <w:pPr>
        <w:pStyle w:val="BodyText"/>
      </w:pPr>
      <w:r>
        <w:t xml:space="preserve">В связи с наступившей аномальной жарой все вышеизложенное создает угрозу жизни и здоровью граждан и может привести к осложнению эпидемиологической ситуации, в т.ч. к возникновению массовых инфекционных и неинфекционных заболеваний, пищевым отравлениям.</w:t>
      </w:r>
    </w:p>
    <w:p>
      <w:pPr>
        <w:pStyle w:val="BodyText"/>
      </w:pPr>
      <w:r>
        <w:t xml:space="preserve">Так в 1 полугодие 2014 года в Москве наблюдается рост заболеваемости инфекционными болезнями с фекально-оральным механизмом передачи, при которых активно реализуется пищевой путь передачи.</w:t>
      </w:r>
    </w:p>
    <w:p>
      <w:pPr>
        <w:pStyle w:val="BodyText"/>
      </w:pPr>
      <w:r>
        <w:t xml:space="preserve">С начала 2014 года в Москве осложнилась эпидемиологическая ситуация по заболеваемости дизентерией и вирусным гепатитом А. За 6 месяцев 2014 года по сравнению с аналогичным периодом прошлого года отмечается рост заболеваемости бактериальной дизентерией в 1,8 раза, регистрируются групповые очаги дизентерии Зонне, связанные с организованным питанием и продуктами, не отвечающим требованиям по безопасности.</w:t>
      </w:r>
    </w:p>
    <w:p>
      <w:pPr>
        <w:pStyle w:val="BodyText"/>
      </w:pPr>
      <w:r>
        <w:t xml:space="preserve">За 6 месяцев 2014 года заболеваемость вирусным гепатитом А среди населения города Москвы выросла на 33,8 %. Пик заболеваемости вирусным гепатитом А приходится на летне-осенний период года в связи с чем прогнозируется дальнейший рост заболеваемости.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http://golyanovo.mos.ru/presscenter/news/detail/1233023.html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2330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2330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2024-01-16T05:40:34Z</dcterms:created>
  <dcterms:modified xsi:type="dcterms:W3CDTF">2024-01-16T05:40:34Z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