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508b93689e02e0a0ceb443d4307d1ed8776ad2"/>
    <w:p>
      <w:pPr>
        <w:pStyle w:val="Heading3"/>
      </w:pPr>
      <w:r>
        <w:t xml:space="preserve">Электронное списание денежных средств со счетов должников</w:t>
      </w:r>
    </w:p>
    <w:p>
      <w:pPr>
        <w:pStyle w:val="FirstParagraph"/>
      </w:pPr>
      <w:r>
        <w:t xml:space="preserve">06.10.2014</w:t>
      </w:r>
    </w:p>
    <w:p>
      <w:pPr>
        <w:pStyle w:val="BodyText"/>
      </w:pPr>
      <w:r>
        <w:t xml:space="preserve">Помимо приостановления выезда за границу, ареста имущества и наложения табу на водоотведение, еще одной действенной мерой по борьбе с неплательщиками является электронное списание денежных средств со счета должников.</w:t>
      </w:r>
    </w:p>
    <w:p>
      <w:pPr>
        <w:pStyle w:val="BodyText"/>
      </w:pPr>
      <w:r>
        <w:t xml:space="preserve">- В настоящее время судебные приставы-исполнители развивают активное взаимодействие с банками в части получения информации о состоянии банковских счетов неплательщиков. Поэтому сегодня лицам, имеющим задолженность за жилищно-коммунальные услуги, очень сложно скрыться от правосудия – комментирует начальник юридического отдела Филиала ГКУ «Дирекция ЖКХиБ ВАО» Юрий Козионов. - Если открыто исполнительное производство, то в соответствии со ст.81 Федерального закона №229 от 5.05.2014г. «Об исполнительном производстве» судебный пристав-исполнитель направляет в банк постановление о розыске счетов должника и наложении ареста на средства, находящиеся на счетах. В свою очередь, банк или иная кредитная организация незамедлительно арестовывает денежные средства должника и сообщает судебному приставу-исполнителю реквизиты счетов и размер арестованных средств.</w:t>
      </w:r>
    </w:p>
    <w:p>
      <w:pPr>
        <w:pStyle w:val="BodyText"/>
      </w:pPr>
      <w:r>
        <w:t xml:space="preserve">Однако списать со счета можно далеко не все денежные средства. Согласно ст. 101 ФЗ «Об исполнительном производстве», существуют виды доходов, не попадающие под взыскание. Это денежные суммы, выплачиваемые в возмещение вреда, причиненного здоровью; в связи со смертью кормильца; выплачиваемые лицам, получившим увечья (ранения, травмы, контузии) при исполнении ими служебных обязанностей и членам их семей в случае смерти указанных лиц; выплаты пострадавшим в результате радиационных и техногенных катастроф; выплаты в связи с уходом за нетрудоспособными гражданами; выплаты отдельным категориям граждан на компенсацию проезда, приобретение лекарств ит.д.; алименты, а также суммы, выплачиваемые на несовершеннолетних детей в период розыска их родителей; компенсационные выплаты в связи с командировками, рождением ребенка, со смертью родных, с регистрацией брака; страховое обеспечение по обязательному социальному страхованию кроме пенсии по инвалидности, пенсии по старости и пособия по временной нетрудоспособности; пенсии по случаю потери кормильца; пособия гражданам, имеющим детей.</w:t>
      </w:r>
    </w:p>
    <w:p>
      <w:pPr>
        <w:pStyle w:val="BodyText"/>
      </w:pPr>
      <w:r>
        <w:t xml:space="preserve">Кроме того, к категориям доходов, запрещенных к аресту, относятся средства материнского капитала; выплаты единовременной материальной помощи в связи со стихийными бедствиями, террористическими актами, в связи со смертью члена семьи, в виде гуманитарной помощи, за оказание содействия в выявлении, раскрытии террористических актов и иных преступлений; суммы компенсации стоимости путевок (кроме туристических) работникам, членах их семей и несовершеннолетним детям; суммы компенсации стоимости проезда к месту лечения и обратно; социальное пособие на погребение. Также законом запрещено арестовывать средства на алименты несовершеннолетним детям.</w:t>
      </w:r>
    </w:p>
    <w:p>
      <w:pPr>
        <w:pStyle w:val="BodyText"/>
      </w:pPr>
      <w:r>
        <w:rPr>
          <w:bCs/>
          <w:b/>
        </w:rPr>
        <w:t xml:space="preserve">Филиал ГКУ «Дирекция жилищно-коммунального хозяйства</w:t>
      </w:r>
    </w:p>
    <w:p>
      <w:pPr>
        <w:pStyle w:val="BodyText"/>
      </w:pPr>
      <w:r>
        <w:rPr>
          <w:bCs/>
          <w:b/>
        </w:rPr>
        <w:t xml:space="preserve">и благоустройства Восточного административного округа»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http://golyanovo.mos.ru/presscenter/news/detail/1328537.html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2853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presscenter/news/detail/132853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2024-12-21T17:51:44Z</dcterms:created>
  <dcterms:modified xsi:type="dcterms:W3CDTF">2024-12-21T17:51:44Z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