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0005df557c95b6272e69b9ff26fd54bd1781f"/>
    <w:p>
      <w:pPr>
        <w:pStyle w:val="Heading3"/>
      </w:pPr>
      <w:r>
        <w:t xml:space="preserve">О режиме работы предприятий торговли города Москвы в дни празднования Дня народного единства</w:t>
      </w:r>
    </w:p>
    <w:p>
      <w:pPr>
        <w:pStyle w:val="FirstParagraph"/>
      </w:pPr>
      <w:r>
        <w:t xml:space="preserve">27.10.2014</w:t>
      </w:r>
    </w:p>
    <w:p>
      <w:pPr>
        <w:pStyle w:val="BodyText"/>
      </w:pPr>
      <w:r>
        <w:t xml:space="preserve">В целях обеспечения стабильного торгового обслуживания населения в праздничные дни ноября 2014 года Департамент торговли и услуг города Москвы рекомендует следующий режим работы для предприятий торговли города Москвы:</w:t>
      </w:r>
    </w:p>
    <w:p>
      <w:pPr>
        <w:pStyle w:val="BodyText"/>
      </w:pPr>
      <w:r>
        <w:rPr>
          <w:bCs/>
          <w:b/>
        </w:rPr>
        <w:t xml:space="preserve">1, 2, 3, 4 ноября 2014 года</w:t>
      </w:r>
      <w:r>
        <w:t xml:space="preserve"> </w:t>
      </w:r>
      <w:r>
        <w:t xml:space="preserve">– все предприятия розничной торговли работают по режиму выходного дня. Магазины с круглосуточным режимом работают без изменений.</w:t>
      </w:r>
    </w:p>
    <w:p>
      <w:pPr>
        <w:pStyle w:val="BodyText"/>
      </w:pPr>
      <w:r>
        <w:rPr>
          <w:bCs/>
          <w:b/>
        </w:rPr>
        <w:t xml:space="preserve">Розничные рынки</w:t>
      </w:r>
      <w:r>
        <w:t xml:space="preserve"> </w:t>
      </w:r>
      <w:r>
        <w:t xml:space="preserve">в перечисленные дни работают по режиму, установленному управляющими компаниями.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http://golyanovo.mos.ru/presscenter/news/detail/1372135.html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72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72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2025-06-01T09:39:17Z</dcterms:created>
  <dcterms:modified xsi:type="dcterms:W3CDTF">2025-06-01T09:39:17Z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