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7f964447c014f6d1a71245c5b0d49d5308ed"/>
    <w:p>
      <w:pPr>
        <w:pStyle w:val="Heading3"/>
      </w:pPr>
      <w:r>
        <w:t xml:space="preserve">Информация Департамента торговли и услуг города Москвы по обустройству сезонных (летних) кафе в новом сезоне 2015 года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 19 июня 2014 г. в соответствии с постановлением Правительства Москвы от 18.04.2014 № 196-ПП «О мерах по совершенствованию порядка размещения сезонных летних кафе при стационарных предприятиях общественного питания и внесении изменений в постановление Правительства Москвы от 16.02.2012 № 57-ПП» введены типовые стандарты обустройства сезонных (летних) кафе, расположенных на территории пешеходных зон и в границах Бульварного кольца.</w:t>
      </w:r>
      <w:r>
        <w:br/>
      </w:r>
    </w:p>
    <w:p>
      <w:pPr>
        <w:pStyle w:val="BodyText"/>
      </w:pPr>
      <w:r>
        <w:t xml:space="preserve">Сезонные кафе, расположенные </w:t>
      </w:r>
      <w:r>
        <w:rPr>
          <w:bCs/>
          <w:b/>
        </w:rPr>
        <w:t xml:space="preserve">за пределами внешних границ Бульварного</w:t>
      </w:r>
      <w:r>
        <w:t xml:space="preserve"> </w:t>
      </w:r>
      <w:r>
        <w:rPr>
          <w:bCs/>
          <w:b/>
        </w:rPr>
        <w:t xml:space="preserve">кольца</w:t>
      </w:r>
      <w:r>
        <w:t xml:space="preserve"> </w:t>
      </w:r>
      <w:r>
        <w:rPr>
          <w:bCs/>
          <w:b/>
        </w:rPr>
        <w:t xml:space="preserve">в пределах внешних границ Третьего транспортного</w:t>
      </w:r>
      <w:r>
        <w:t xml:space="preserve"> кольца </w:t>
      </w:r>
      <w:r>
        <w:rPr>
          <w:bCs/>
          <w:b/>
        </w:rPr>
        <w:t xml:space="preserve">с 1 января 2015 г.</w:t>
      </w:r>
      <w:r>
        <w:t xml:space="preserve"> должны полностью перейти к обустройству по типовым стандартам.</w:t>
      </w:r>
    </w:p>
    <w:p>
      <w:pPr>
        <w:pStyle w:val="BodyText"/>
      </w:pPr>
      <w:r>
        <w:t xml:space="preserve">Для сезонных кафе, расположенных </w:t>
      </w:r>
      <w:r>
        <w:rPr>
          <w:bCs/>
          <w:b/>
        </w:rPr>
        <w:t xml:space="preserve">за пределами границ Третьего </w:t>
      </w:r>
      <w:r>
        <w:t xml:space="preserve">транспортного кольца, требования вступают в силу </w:t>
      </w:r>
      <w:r>
        <w:rPr>
          <w:bCs/>
          <w:b/>
        </w:rPr>
        <w:t xml:space="preserve">с 1 января 2016 г. </w:t>
      </w:r>
      <w:r>
        <w:t xml:space="preserve">В связи с этим, данные сезонные кафе в течение 2015 года могут быть обустроены в соответствии с проектами архитектурно-художественных решений, согласованных с Москомархитектурой ранее, в период с февраля 2012 г. по декабрь 2014 г.</w:t>
      </w:r>
    </w:p>
    <w:p>
      <w:pPr>
        <w:pStyle w:val="BodyText"/>
      </w:pPr>
      <w:r>
        <w:t xml:space="preserve">При обустройстве сезонных кафе с типовым архитектурно-художественным решением хозяйствующий субъект должен руководствоваться требованиями Правил и Графическими приложениями к Правилам, утвержденными постановлением Правительства Москвы № 196-ПП, дополнительного согласования проекта архитектурно-художественного решения с Москомархитектурой не требуется.</w:t>
      </w:r>
    </w:p>
    <w:p>
      <w:pPr>
        <w:pStyle w:val="BodyText"/>
      </w:pPr>
      <w:r>
        <w:t xml:space="preserve">За нарушение установленных требований, контрольными органами (ОАТИ и Госинспекцией по недвижимости) к нарушителям будут применяться меры административного воздействия в соответствии с КОАП города Москвы.</w:t>
      </w:r>
    </w:p>
    <w:p>
      <w:pPr>
        <w:pStyle w:val="BodyText"/>
      </w:pPr>
      <w:r>
        <w:t xml:space="preserve">За неисполнение предписаний контрольных органов нарушители могут быть исключены из схемы размещения.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http://golyanovo.mos.ru/presscenter/news/detail/1762333.html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2023-08-01T22:04:34Z</dcterms:created>
  <dcterms:modified xsi:type="dcterms:W3CDTF">2023-08-01T22:04:34Z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