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dfd97881936ed9dfd586399fb45900fc1fa6f"/>
    <w:p>
      <w:pPr>
        <w:pStyle w:val="Heading3"/>
      </w:pPr>
      <w:r>
        <w:t xml:space="preserve">Внесены изменения в законодательстве о долевом участии в строительстве жилья</w:t>
      </w:r>
    </w:p>
    <w:p>
      <w:pPr>
        <w:pStyle w:val="FirstParagraph"/>
      </w:pPr>
      <w:r>
        <w:t xml:space="preserve">06.05.2015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21.07.2014 г. в Федеральный закон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внесены изменения и дополнения, которые вступили в силу с 01.03.2015. </w:t>
      </w:r>
      <w:r>
        <w:br/>
      </w:r>
      <w:r>
        <w:t xml:space="preserve">В частности, внесены изменения в пункт 1 ст. 2 , которыми уточнено понятие «застройщик», под которым понимается юридическое лицо независимо от его организационно-правовой формы, имеющее в собственности или на праве аренды, на праве субаренды либо в предусмотренных Федеральным законом от 24.07.2008 № 161-ФЗ «О содействии развитию жилищного строительства» случаях на праве безвозмездного пользования земельный участок и привлекающее денежные средства участников долевого строительства в соответствии с настоящим федеральным законом для строительства (создания) на этом земельном участке многоквартирных домов и (или) иных объектов недвижимости, за исключением объектов производственного назначения, на основании полученного разрешения на строительство. </w:t>
      </w:r>
      <w:r>
        <w:br/>
      </w:r>
      <w:r>
        <w:t xml:space="preserve">Данным определением исключены положения о срочном характере безвозмездного пользования земельным участком застройщиком. </w:t>
      </w:r>
      <w:r>
        <w:br/>
      </w:r>
      <w:r>
        <w:t xml:space="preserve">С 01.03.2015 застройщиком, заключившим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класса, в договоре участия в долевом строительстве, заключенном в отношении жилого помещения, соответствующего условиям отнесения к жилью экономического класса, наряду с иными условиями должны быть обязательно указаны: </w:t>
      </w:r>
      <w:r>
        <w:br/>
      </w:r>
      <w:r>
        <w:t xml:space="preserve">1) сведения о том, что жилое помещение, являющееся объектом долевого строительства, соответствует условиям отнесения к жилью экономического класса и создается застройщиком, являющимся лицом, с которым заключен договор об освоении территории в целях строительства жилья экономического класса или договор о комплексном освоении территории в целях строительства жилья экономического класса; </w:t>
      </w:r>
      <w:r>
        <w:br/>
      </w:r>
      <w:r>
        <w:t xml:space="preserve">2) сведения о реквизитах и сторонах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класса; </w:t>
      </w:r>
      <w:r>
        <w:br/>
      </w:r>
      <w:r>
        <w:t xml:space="preserve">3) цена договора участия в долевом строительстве в расчете на один квадратный метр общей площади объекта долевого строительства, которая не может превышать цену, указанную в протоколе о результатах аукциона на право заключения договора об освоении территории либо начальную цену предмета такого аукциона. </w:t>
      </w:r>
      <w:r>
        <w:br/>
      </w:r>
      <w:r>
        <w:t xml:space="preserve">Обязательным приложением к договору участия в долевом строительстве является протокол о результатах аукциона на право заключения договора об освоении территории в целях строительства жилья экономического класса или договора о комплексном освоении территории в целях строительства жилья экономического класса либо извещение о проведении такого аукциона.</w:t>
      </w:r>
    </w:p>
    <w:p>
      <w:pPr>
        <w:pStyle w:val="BodyText"/>
      </w:pPr>
      <w:r>
        <w:t xml:space="preserve">Прокурор административного округа Т.А. Брудастов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http://golyanovo.mos.ru/presscenter/news/detail/1822678.html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226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8226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2023-07-20T10:41:38Z</dcterms:created>
  <dcterms:modified xsi:type="dcterms:W3CDTF">2023-07-20T10:41:38Z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