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60ac62e0c353a44b7a1119aae4d52a263ca7b"/>
    <w:p>
      <w:pPr>
        <w:pStyle w:val="Heading3"/>
      </w:pPr>
      <w:r>
        <w:t xml:space="preserve">Суд назначил наказание обвиняемым в разбойном нападении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Преображенским районным судом г. Москвы рассмотрено уголовное дело в отношении группы лиц, состоящей из 4-х уроженцев Республики Узбекистан – Хаджиматова Д.Д. (1993 года рождения), Хрипушина П.А. (1992 года рождения), Султанова И.О. (1987 года рождения), Каримова Л.С. (1987 года рождения), уроженца Республики Таджикистан – Куватова Р.И. (1992 года рождения), а также уроженца Республики Кыргызстан – Юлдашева С.К. (1991 года рождения). Указанными лицами совершались особо тяжкие и тяжкие преступления – разбойные нападения и грабежи в отношении граждан в различных районах города Москвы, сопряженные с угрозой применения насилия.</w:t>
      </w:r>
    </w:p>
    <w:p>
      <w:pPr>
        <w:pStyle w:val="BodyText"/>
      </w:pPr>
      <w:r>
        <w:t xml:space="preserve">В частности, на территории района Гольяново г. Москвы, представляясь криминальной категорией «смотрящие», угрожая применением насилия в отношении потерпевших, действуя группой лиц по предварительному сговору, указанные лица совершили грабеж в отношении гражданина, прибывшего на автовокзал, предупредив последнего, что ими («смотрящими») взымается плата со всех прибывших в виде денежных средств, находящихся при потерпевших, а те, кто отказывается платить, не доезжают до места назначения, так как в данном случае в их адрес будет применена грубая физическая сила. Данные лица завладели всеми денежными средствами и банковскими картами, которые находились при потерпевших.</w:t>
      </w:r>
    </w:p>
    <w:p>
      <w:pPr>
        <w:pStyle w:val="BodyText"/>
      </w:pPr>
      <w:r>
        <w:t xml:space="preserve">Исследовав материалы уголовного дела суд установил вину обвиняемых в совершении всех инкриминируемых им деяний и с учетом позиции государственного обвинителя Преображенской межрайонной прокуратуры  г. Москвы назначил каждому осужденному соразмерно содеянному наказание в виде лишения свободы на срок от 2 лет 6 месяцев до 8 лет лишения свободы, удовлетворив при этом гражданские иски потерпевших, которым был причинен значительный материальный ущерб.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http://golyanovo.mos.ru/presscenter/news/detail/1851879.html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51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51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2023-09-13T15:28:47Z</dcterms:created>
  <dcterms:modified xsi:type="dcterms:W3CDTF">2023-09-13T15:28:47Z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