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аждане-имеют-права-на-обращения"/>
    <w:p>
      <w:pPr>
        <w:pStyle w:val="Heading3"/>
      </w:pPr>
      <w:r>
        <w:t xml:space="preserve">Граждане имеют права на обращения</w:t>
      </w:r>
    </w:p>
    <w:p>
      <w:pPr>
        <w:pStyle w:val="FirstParagraph"/>
      </w:pPr>
      <w:r>
        <w:t xml:space="preserve">30.06.2015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соответствии с Федеральным законом "О порядке рассмотрения обращений граждан Российской Федерации"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>
      <w:pPr>
        <w:pStyle w:val="BodyText"/>
      </w:pPr>
      <w:r>
        <w:t xml:space="preserve">При этом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>
      <w:pPr>
        <w:pStyle w:val="BodyText"/>
      </w:pPr>
      <w:r>
        <w:t xml:space="preserve">На практике злоупотребление субъективными правами на обращение выражается в необоснованных жалобах, большинство из которых подаются исключительно в целях причинения вреда физическому либо юридическому лицу.</w:t>
      </w:r>
    </w:p>
    <w:p>
      <w:pPr>
        <w:pStyle w:val="BodyText"/>
      </w:pPr>
      <w:r>
        <w:t xml:space="preserve">Кроме того, большинство индивидуальных и коллективных обращений граждан на действия, нарушающие их право, поступают в некомпетентные инстанции, в государственные органы, органы местного самоуправления, должностным лицам, руководителям юридических лиц, к компетенции которых не отнесено их рассмотрение, что не позволяет оперативно принимать соответствующие меры для реализации прав граждан.</w:t>
      </w:r>
    </w:p>
    <w:p>
      <w:pPr>
        <w:pStyle w:val="BodyText"/>
      </w:pPr>
      <w:r>
        <w:t xml:space="preserve">Обязательность рассмотрения обращения не означает его обязательного разрешения.</w:t>
      </w:r>
    </w:p>
    <w:p>
      <w:pPr>
        <w:pStyle w:val="BodyText"/>
      </w:pPr>
      <w:r>
        <w:t xml:space="preserve">Так, ч. 1 ст. 8 названного Федерального закона определено, что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>
      <w:pPr>
        <w:pStyle w:val="BodyText"/>
      </w:pPr>
      <w:r>
        <w:t xml:space="preserve">На основании ч. 3 данной статьи Федерального закона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статьи 11 настоящего Федерального закона.</w:t>
      </w:r>
    </w:p>
    <w:p>
      <w:pPr>
        <w:pStyle w:val="BodyText"/>
      </w:pPr>
      <w:r>
        <w:t xml:space="preserve">Следовательно, направление заявителем обращения непосредственно в тот орган, в компетенцию которого входит решение поставленных в обращении вопросов, позволяет данному органу своевременно принять все меры к восстановлению нарушенных прав, свобод и законных интересов граждан или защите от их нарушения.</w:t>
      </w:r>
    </w:p>
    <w:p>
      <w:pPr>
        <w:pStyle w:val="BodyText"/>
      </w:pPr>
      <w:r>
        <w:t xml:space="preserve">Обратиться с просьбой защиты нарушенных прав или о содействии в их реализации гражданин может и в орган прокуратуры.</w:t>
      </w:r>
    </w:p>
    <w:p>
      <w:pPr>
        <w:pStyle w:val="BodyText"/>
      </w:pPr>
      <w:r>
        <w:t xml:space="preserve">В соответствии со ст. 10 Федерального закона "О прокуратуре Российской Федерации" в органах прокуратуры в соответствии с их полномочиями разрешаются заявления, жалобы и иные обращения, содержащие сведения о нарушении законов.</w:t>
      </w:r>
    </w:p>
    <w:p>
      <w:pPr>
        <w:pStyle w:val="BodyText"/>
      </w:pPr>
      <w:r>
        <w:t xml:space="preserve">Однако при реализации прокурорами правозащитной функции следует учитывать положения ч. 2 ст. 21 Федерального закона "О прокуратуре Российской Федерации" о том, что при осуществлении надзора за исполнением законов органы прокуратуры не подменяют иные государственные органы.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http://golyanovo.mos.ru/presscenter/news/detail/1971302.html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71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71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2025-08-05T15:29:40Z</dcterms:created>
  <dcterms:modified xsi:type="dcterms:W3CDTF">2025-08-05T15:29:40Z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