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d4794458dad5f0dcbd9be8e8d664a0347aa35"/>
    <w:p>
      <w:pPr>
        <w:pStyle w:val="Heading3"/>
      </w:pPr>
      <w:r>
        <w:t xml:space="preserve">Осенние ярмарки выходного дня пройдут на 109 площадках</w:t>
      </w:r>
    </w:p>
    <w:p>
      <w:pPr>
        <w:pStyle w:val="FirstParagraph"/>
      </w:pPr>
      <w:r>
        <w:t xml:space="preserve">07.09.2015</w:t>
      </w:r>
    </w:p>
    <w:p>
      <w:pPr>
        <w:pStyle w:val="BodyText"/>
      </w:pPr>
      <w:r>
        <w:drawing>
          <wp:inline>
            <wp:extent cx="5334000" cy="24936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ublic-advisors/Ярмар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3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Третья торговая сессия со 2 октября начнется на 109 площадках, которые предусмотрены под ярмарки выходного дня. Всего будет предоставлено почти 3,85 тысяч торговых мест. Об этом 7 сентября сообщил руководитель Департамента торговли и услуг Алексей Немерюк.</w:t>
      </w:r>
    </w:p>
    <w:p>
      <w:pPr>
        <w:pStyle w:val="BodyText"/>
      </w:pPr>
      <w:r>
        <w:t xml:space="preserve">«Со 2 октября на ярмарках выходного дня в столице начнется третья торговая сессия. В настоящее время в адресный перечень ярмарок выходного дня в Москве на 2015 год входит 109 площадок на 3 тысяч 848 торговых мест. Потенциальные участники могут подать заявку на все площадки города через портал госуслуг», - сказал Алексей Немерюк.</w:t>
      </w:r>
    </w:p>
    <w:p>
      <w:pPr>
        <w:pStyle w:val="BodyText"/>
      </w:pPr>
      <w:r>
        <w:t xml:space="preserve">Он также уточнил, что все торговые места на ярмарках выходного дня предоставляются бесплатно.</w:t>
      </w:r>
    </w:p>
    <w:p>
      <w:pPr>
        <w:pStyle w:val="BodyText"/>
      </w:pPr>
      <w:r>
        <w:t xml:space="preserve">По данным Департамента торговли и услуг, заявочная кампания на первую торговую сессию - с 3 апреля по 28 июня состоялась с 10 по 24 марта, на вторую - с 3 июля по 27 сентября - с 10 по 24 июня. Количество заявок на участие в ярмарках выходного дня в первую заявочную кампанию составило 23,93 тысячи штук, с количеством уникальных заявителей 4,75 тысяч.</w:t>
      </w:r>
    </w:p>
    <w:p>
      <w:pPr>
        <w:pStyle w:val="BodyText"/>
      </w:pPr>
      <w:r>
        <w:t xml:space="preserve">Во вторую кампанию количество заявок составило 19,74 тысячи штук. В том числе от физических лиц – 8,42 тысячи (43% от общего количества поданных заявок), индивидуальных предпринимателей - почти 11 тысяч (56% от общего количества), юридических лиц – 325 (1%). Уникальных заявителей в ходе второй заявочной кампании зарегистрировано 6,25 тысяч, из них физических лиц - 3,9 тысяч (62%), индивидуальных предпринимателей - 2,29 тысяч (37%)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http://golyanovo.mos.ru/presscenter/news/detail/2135795.html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135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135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2025-07-15T11:24:22Z</dcterms:created>
  <dcterms:modified xsi:type="dcterms:W3CDTF">2025-07-15T11:24:22Z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