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fbf2c6c9e1cbc9be9a7fb75796bf22e66223ec"/>
    <w:p>
      <w:pPr>
        <w:pStyle w:val="Heading3"/>
      </w:pPr>
      <w:r>
        <w:t xml:space="preserve">Более 6 тысяч новых осветительных мачт появятся на территориях московских школ</w:t>
      </w:r>
    </w:p>
    <w:p>
      <w:pPr>
        <w:pStyle w:val="FirstParagraph"/>
      </w:pPr>
      <w:r>
        <w:t xml:space="preserve">24.06.2016</w:t>
      </w:r>
    </w:p>
    <w:p>
      <w:pPr>
        <w:pStyle w:val="BodyText"/>
      </w:pPr>
      <w:r>
        <w:drawing>
          <wp:inline>
            <wp:extent cx="5334000" cy="3111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upload/medialibrary/f18/za-5-let-investory-sozdali-bolee-13-tysyach-mest-v-moskovskikh-shkolakh-i-detskikh-sadakh.-foto-icmos.ru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Территория столичных школ будет дополнительно освещаться новыми фонарями, возле учебных заведений города установят более шести тысяч новых фонарей. Об этом сообщило Агентство городских новостей «Москва» со ссылкой на сайт госзакупок.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Новые опоры наружного освещения появятся на территории школ Москвы к началу учебного года. Согласно материалам, размещённым на официальном ресурсе госзакупок, опоры наружного освещения будут смонтированы на территории образовательных организаций города, которые расположены во всех округах Москвы, в том числе в ВАО. Всего на территории школ в срок до 28 августа текущего года будет установлено 6 тыс. 302 осветительные мачты. Заказчиком работ выступает департамент топливно-энергетического хозяйства Москвы. Общая сумма контрактов, как отмечается в опубликованном материале, не превысит 948,4 миллионов рублей.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http://golyanovo.mos.ru/presscenter/news/detail/3222911.html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32229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32229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2023-09-16T05:00:08Z</dcterms:created>
  <dcterms:modified xsi:type="dcterms:W3CDTF">2023-09-16T05:00:08Z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