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f77156011f4201a9458d38fd580fe585bde32"/>
    <w:p>
      <w:pPr>
        <w:pStyle w:val="Heading3"/>
      </w:pPr>
      <w:r>
        <w:t xml:space="preserve">На одно место торговли бахчёвыми в ВАО претендовали в среднем 6 продавцов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drawing>
          <wp:inline>
            <wp:extent cx="5334000" cy="40678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2f/v-moskve-otkrylos-264-tochki-realizatsii-arbuzov-i-dyn.-foto-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7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Конкуренция за право торговли арбузами и дынями в Восточном административном округе была в этом году выше, чем в среднем по Москве. Как сообщает Информационный Центр Правительства Москвы со ссылкой на пресс-службу Департамента Москвы по конкурентной политике, в ВАО на торговую точку претендовало в среднем шесть покупателей, а в Москве - по три-четыре предпринимателя на лот.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Департаменте уточнили, что в настоящее время завершены торги по 275 нестационарным объектам, предназначенным для продажи арбузов и дынь. По результатам последней торговой сессии было разыграно 53 лота на размещения бахчёвых развалов в четырёх столичных округах. Среднее превышение аукционной стоимости над стартовым значением составило 174%. Об этом сообщил руководитель Департамента Москвы по конкурентной политике Геннадий Дегтев. По приведённым Департаментом данным, самые конкурентные торги состоялись в Восточном административном округе.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Платить за 1 кв. метр торговой точки предприниматели будут ежемесячно от 2,2 тыс. рублей в ТиНАО, до 24,1 тыс. рублей в 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http://golyanovo.mos.ru/presscenter/news/detail/3514125.html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1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1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2023-09-20T05:17:45Z</dcterms:created>
  <dcterms:modified xsi:type="dcterms:W3CDTF">2023-09-20T05:17:45Z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