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855da6461b61c83e36ef269635ddda6eb9268"/>
    <w:p>
      <w:pPr>
        <w:pStyle w:val="Heading3"/>
      </w:pPr>
      <w:r>
        <w:t xml:space="preserve">Подавляющее большинство столичных технопарков создаются частными инвесторами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t xml:space="preserve">Большая часть функционирующих в Москве технопарков создаются по инициативе частных компаний. Об этом рассказал мэр Москвы Сергей Собянин, посетивший 33-ью Всемирную конференцию Международной ассоциации технопарков и зон инновационного развития (IASP).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напомнил, что в городе за последние годы было создано 26 технопарков, причём, первые из них появились на территории Москвы за счёт вложения бюджетных средств. В настоящий момент технопарки строятся и развиваются, в основном, с привлечением частных источников. В рамках конференции Сергей Собянин также сообщил, что в столице ведётся работа по стартовавшей год назад программе профессиональной подготовки учащихся московских школ.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школьники получают первые навыки инновационной и научной работы, по словам мэра Москвы в рамках совместной работы с ведущими предприятиями и вузами столицы. Данная программа позволяет успешно создать интегрированную среду профессионального и школьного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http://golyanovo.mos.ru/presscenter/news/detail/3786695.html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86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86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2023-10-12T10:01:13Z</dcterms:created>
  <dcterms:modified xsi:type="dcterms:W3CDTF">2023-10-12T10:01:13Z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