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7dc0ff49062af3df296040a18b528aa7a62511"/>
    <w:p>
      <w:pPr>
        <w:pStyle w:val="Heading3"/>
      </w:pPr>
      <w:r>
        <w:t xml:space="preserve">В метро запустили поезд-галерею с репродукциями картин из Третьяковки</w:t>
      </w:r>
    </w:p>
    <w:p>
      <w:pPr>
        <w:pStyle w:val="FirstParagraph"/>
      </w:pPr>
      <w:r>
        <w:t xml:space="preserve">30.11.2016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f0f/v-stolichnoy-podzemke-zapushchen-brendirovannyy-poezd_-posvyashchennyy-russkoy-zhivopisi-xx-veka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Кольцевой линии метро запустили поезд, посвящённый отечественной живописи XX века. Это двадцатый брендированный состав в метрополитене. В нём можно увидеть репродукции 78 произведений из коллекции Третьяковской галереи на Крымском Валу.</w:t>
      </w:r>
    </w:p>
    <w:p>
      <w:pPr>
        <w:pStyle w:val="BodyText"/>
      </w:pPr>
      <w:r>
        <w:t xml:space="preserve">«Сегодня мы запуском этого поезда открываем совместный с Третьяковской галереей</w:t>
      </w:r>
      <w:r>
        <w:t xml:space="preserve"> </w:t>
      </w:r>
      <w:hyperlink r:id="rId23">
        <w:r>
          <w:rPr>
            <w:rStyle w:val="Hyperlink"/>
          </w:rPr>
          <w:t xml:space="preserve">проект “Интенсив ХХ”</w:t>
        </w:r>
      </w:hyperlink>
      <w:r>
        <w:t xml:space="preserve">», — сообщил начальник Московского метрополитена Дмитрий Пегов.</w:t>
      </w:r>
    </w:p>
    <w:p>
      <w:pPr>
        <w:pStyle w:val="BodyText"/>
      </w:pPr>
      <w:r>
        <w:t xml:space="preserve">Каждый вагон нового поезда рассказывает об одном из этапов развития изобразительного искусства в XX веке. А все произведения поделили на три периода: авангард, советское искусство и современность. На стенах вагонов частично воспроизведены работы Казимира Малевича, Василия Кандинского, Юрия Пименова, Эрика Булатова, Наталии Гончаровой, Александра Дейнеки и других.</w:t>
      </w:r>
    </w:p>
    <w:p>
      <w:pPr>
        <w:pStyle w:val="BodyText"/>
      </w:pPr>
      <w:r>
        <w:t xml:space="preserve">Запуск брендированного поезда стал первым шагом в реализации просветительского проекта</w:t>
      </w:r>
      <w:r>
        <w:t xml:space="preserve"> </w:t>
      </w:r>
      <w:hyperlink r:id="rId24">
        <w:r>
          <w:rPr>
            <w:rStyle w:val="Hyperlink"/>
          </w:rPr>
          <w:t xml:space="preserve">Департамента транспорта</w:t>
        </w:r>
      </w:hyperlink>
      <w:r>
        <w:t xml:space="preserve">, Московского метрополитена и Третьяковской галереи. Кроме того, в</w:t>
      </w:r>
      <w:r>
        <w:t xml:space="preserve"> </w:t>
      </w:r>
      <w:hyperlink r:id="rId25">
        <w:r>
          <w:rPr>
            <w:rStyle w:val="Hyperlink"/>
          </w:rPr>
          <w:t xml:space="preserve">вестибюле «Парка культуры»</w:t>
        </w:r>
      </w:hyperlink>
      <w:r>
        <w:t xml:space="preserve"> </w:t>
      </w:r>
      <w:r>
        <w:t xml:space="preserve">Кольцевой линии появились тантамарески с фрагментами картин художников XX века, на эскалаторах разместили билборды с интересными фактами о направлениях в живописи прошлого столетия, а в пространстве между арками станции — портреты известных художников.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http://golyanovo.mos.ru/presscenter/news/detail/4328238.html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t.mos.ru/" TargetMode="External" /><Relationship Type="http://schemas.openxmlformats.org/officeDocument/2006/relationships/hyperlink" Id="rId27" Target="http://golyanovo.mos.ru" TargetMode="External" /><Relationship Type="http://schemas.openxmlformats.org/officeDocument/2006/relationships/hyperlink" Id="rId26" Target="http://golyanovo.mos.ru/presscenter/news/detail/4328238.html" TargetMode="External" /><Relationship Type="http://schemas.openxmlformats.org/officeDocument/2006/relationships/hyperlink" Id="rId23" Target="https://www.mos.ru/news/item/10476073" TargetMode="External" /><Relationship Type="http://schemas.openxmlformats.org/officeDocument/2006/relationships/hyperlink" Id="rId25" Target="https://www.mos.ru/news/item/18402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t.mos.ru/" TargetMode="External" /><Relationship Type="http://schemas.openxmlformats.org/officeDocument/2006/relationships/hyperlink" Id="rId27" Target="http://golyanovo.mos.ru" TargetMode="External" /><Relationship Type="http://schemas.openxmlformats.org/officeDocument/2006/relationships/hyperlink" Id="rId26" Target="http://golyanovo.mos.ru/presscenter/news/detail/4328238.html" TargetMode="External" /><Relationship Type="http://schemas.openxmlformats.org/officeDocument/2006/relationships/hyperlink" Id="rId23" Target="https://www.mos.ru/news/item/10476073" TargetMode="External" /><Relationship Type="http://schemas.openxmlformats.org/officeDocument/2006/relationships/hyperlink" Id="rId25" Target="https://www.mos.ru/news/item/18402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2024-11-16T09:15:18Z</dcterms:created>
  <dcterms:modified xsi:type="dcterms:W3CDTF">2024-11-16T09:15:18Z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