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a6e3d061b8ef55e09d899d1922b01c1f3e9ad"/>
    <w:p>
      <w:pPr>
        <w:pStyle w:val="Heading3"/>
      </w:pPr>
      <w:r>
        <w:t xml:space="preserve">Социальной рекламе на инфоэкранах в подъездах столичных домов могут выделить около 20% городского времени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65/sotsialnoy-reklame-na-infoekranakh-v-podezdakh-stolichnykh-domov-mogut-vydelit-okolo-20_-gorodskogo-vreme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Социальной рекламе на информационных панелях в подъездах жилых домов в Москве могут выделить около 20% городского времени. Об этом 6 декабря на презентации проекта по оснащению подъездов жилых домов медиаэкранами для трансляции городских оповещений рассказал заместитель руководителя столичного Департамента информационных технологий Андрей Белозеров.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бы хотели получить квоту - 20% городского времени. Это будет решаться на торгах. Мы понимаем все, что количество социальной рекламы должно занимать хотя бы 1/5 от всего времени. Чем более полезными будут панели для москвичей, тем выгоднее от этого будет инвестору и никто не будет их ломать, например», - сказал Андрей Белозеров. Он также уточнил, что этот параметр выставят на торги.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инвестор предложит нам например 50% эфирного времени на демонстрацию социальных роликов, то мы, конечно, выразим ему предпочтение. Какая реклама будет размещена в оставшееся время - решит сам инвестор, но она, конечно, не должна нарушать законодательство», - отметил Андрей Белозеров.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тестовом режиме за счет средств инвестора экраны были размещены в 1,44 тысячах подъездах в 17 районах четырех округов столицы. Охват аудитории составил 312 тысяч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москвичам объясняли правила работы городских парковок, анонсировали изменения в работе городского транспорта, рассказывали, как найти ближайший пункт утилизации энергосберегающих ламп или оборудованную площадку для выгула собак. В ходе социологического опроса большинство жильцов пилотной зоны высказались за дальнейшее развитие нового формата информирования.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2025-01-16T20:52:02Z</dcterms:created>
  <dcterms:modified xsi:type="dcterms:W3CDTF">2025-01-16T20:52:02Z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