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bf4ae0cfe49e0e3422b4dac391d1babc86ada"/>
    <w:p>
      <w:pPr>
        <w:pStyle w:val="Heading3"/>
      </w:pPr>
      <w:r>
        <w:t xml:space="preserve">Стоимость набора социальных услуг с 1 апреля 2013 года</w:t>
      </w:r>
    </w:p>
    <w:p>
      <w:pPr>
        <w:pStyle w:val="FirstParagraph"/>
      </w:pPr>
      <w:r>
        <w:t xml:space="preserve">14.03.2013</w:t>
      </w:r>
    </w:p>
    <w:p>
      <w:pPr>
        <w:pStyle w:val="BodyText"/>
      </w:pPr>
      <w:r>
        <w:t xml:space="preserve">С 1 апреля 2013 года согласно части 1 статьи 6.5 Федерального закона от 17.07.1999г. № 178-ФЗ «О государственной социальной помощи» (Федерального закона от 22.12.2008 № 269-ФЗ «</w:t>
      </w:r>
      <w:r>
        <w:t xml:space="preserve">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</w:t>
      </w:r>
      <w:r>
        <w:t xml:space="preserve">») на оплату предоставления гражданам набора социальных услуг направляется</w:t>
      </w:r>
      <w:r>
        <w:t xml:space="preserve"> </w:t>
      </w:r>
      <w:r>
        <w:t xml:space="preserve">839</w:t>
      </w:r>
      <w:r>
        <w:t xml:space="preserve"> </w:t>
      </w:r>
      <w:r>
        <w:t xml:space="preserve">рублей 65 коп. в месяц в расчете на одного гражданина, из них: 646 руб.71 коп.- на оплату социальной услуги, предусмотренной п.1 ч.1 ст. 6.2 Федерального закона от 17.07.1999г. № 178-ФЗ» О государственной социальной помощи» (обеспечение граждан по рецептам врача (фельдшера) необходимыми лекарственными препаратами, изделиями медицинского назначения, а также специализированными продуктами лечебного питания для детей-инвалидов);</w:t>
      </w:r>
    </w:p>
    <w:p>
      <w:pPr>
        <w:pStyle w:val="BodyText"/>
      </w:pPr>
      <w:r>
        <w:t xml:space="preserve">100 руб. 05 коп.- на оплату социальной услуги, предусмотренной п.1.1 ч.1 ст. 6.2 Федерального закона от 17.07.1999г. № 178-ФЗ « О государственной социальной помощи» (предоставление при наличии медицинских показаний путевки на санаторно-курортное лечение, осуществляемое в целях профилактики основных заболеваний);</w:t>
      </w:r>
    </w:p>
    <w:p>
      <w:pPr>
        <w:pStyle w:val="BodyText"/>
      </w:pPr>
      <w:r>
        <w:t xml:space="preserve">92 руб. 89 коп.- на оплату социальной услуги, предусмотренной п.2 ч.1 ст. 6.2 Федерального закона от 17.07.1999г. № 178-ФЗ «О государственной социальной помощи» (бесплатный проезд на пригородном железнодорожном транспорте, а также на междугородном транспорте к месту лечения и обратно).</w:t>
      </w:r>
    </w:p>
    <w:p>
      <w:pPr>
        <w:pStyle w:val="BodyText"/>
      </w:pPr>
      <w:r>
        <w:t xml:space="preserve">Размеры ежемесячной денежной выплаты основным категориям льготников с 1 апреля 2013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Категория граждан</w:t>
            </w:r>
          </w:p>
        </w:tc>
        <w:tc>
          <w:tcPr/>
          <w:p>
            <w:pPr>
              <w:jc w:val="left"/>
            </w:pPr>
            <w:r>
              <w:t xml:space="preserve">ЕДВ на 01.04.2013</w:t>
            </w:r>
          </w:p>
        </w:tc>
        <w:tc>
          <w:tcPr/>
          <w:p>
            <w:pPr>
              <w:jc w:val="left"/>
            </w:pPr>
            <w:r>
              <w:t xml:space="preserve">ЕДВ на 01.04.2013 (при сохранении полного НСУ)</w:t>
            </w:r>
          </w:p>
        </w:tc>
        <w:tc>
          <w:tcPr/>
          <w:p>
            <w:pPr>
              <w:jc w:val="left"/>
            </w:pPr>
            <w:r>
              <w:t xml:space="preserve">ЕДВ на 01.04.2013 (с учетом отказа от санаторно-курортного</w:t>
            </w:r>
            <w:r>
              <w:t xml:space="preserve"> </w:t>
            </w:r>
            <w:r>
              <w:t xml:space="preserve"> </w:t>
            </w:r>
            <w:r>
              <w:t xml:space="preserve">лечения )</w:t>
            </w:r>
          </w:p>
        </w:tc>
        <w:tc>
          <w:tcPr/>
          <w:p>
            <w:pPr>
              <w:jc w:val="left"/>
            </w:pPr>
            <w:r>
              <w:t xml:space="preserve">ЕДВ на 01.04.2013</w:t>
            </w:r>
          </w:p>
          <w:p>
            <w:pPr>
              <w:jc w:val="left"/>
            </w:pPr>
            <w:r>
              <w:t xml:space="preserve">( с учетом отказа от лекарственных препаратов)</w:t>
            </w:r>
          </w:p>
        </w:tc>
      </w:tr>
      <w:tr>
        <w:tc>
          <w:tcPr/>
          <w:p>
            <w:pPr>
              <w:jc w:val="left"/>
            </w:pPr>
            <w:r>
              <w:t xml:space="preserve">Инвалид ВОВ, приравненные к инвалидам ВОВ</w:t>
            </w:r>
          </w:p>
        </w:tc>
        <w:tc>
          <w:tcPr/>
          <w:p>
            <w:pPr>
              <w:jc w:val="left"/>
            </w:pPr>
            <w:r>
              <w:t xml:space="preserve">4045,56</w:t>
            </w:r>
          </w:p>
        </w:tc>
        <w:tc>
          <w:tcPr/>
          <w:p>
            <w:pPr>
              <w:jc w:val="left"/>
            </w:pPr>
            <w:r>
              <w:t xml:space="preserve">3205,91</w:t>
            </w:r>
          </w:p>
        </w:tc>
        <w:tc>
          <w:tcPr/>
          <w:p>
            <w:pPr>
              <w:jc w:val="left"/>
            </w:pPr>
            <w:r>
              <w:t xml:space="preserve">3305,96</w:t>
            </w:r>
          </w:p>
        </w:tc>
        <w:tc>
          <w:tcPr/>
          <w:p>
            <w:pPr>
              <w:jc w:val="left"/>
            </w:pPr>
            <w:r>
              <w:t xml:space="preserve">3852,62</w:t>
            </w:r>
          </w:p>
        </w:tc>
      </w:tr>
      <w:tr>
        <w:tc>
          <w:tcPr/>
          <w:p>
            <w:pPr>
              <w:jc w:val="left"/>
            </w:pPr>
            <w:r>
              <w:t xml:space="preserve">Участники ВОВ и несовершеннолетние узники концлагерей</w:t>
            </w:r>
          </w:p>
        </w:tc>
        <w:tc>
          <w:tcPr/>
          <w:p>
            <w:pPr>
              <w:jc w:val="left"/>
            </w:pPr>
            <w:r>
              <w:t xml:space="preserve">3034,16</w:t>
            </w:r>
          </w:p>
        </w:tc>
        <w:tc>
          <w:tcPr/>
          <w:p>
            <w:pPr>
              <w:jc w:val="left"/>
            </w:pPr>
            <w:r>
              <w:t xml:space="preserve">2194,51</w:t>
            </w:r>
          </w:p>
        </w:tc>
        <w:tc>
          <w:tcPr/>
          <w:p>
            <w:pPr>
              <w:jc w:val="left"/>
            </w:pPr>
            <w:r>
              <w:t xml:space="preserve">2294,56</w:t>
            </w:r>
          </w:p>
        </w:tc>
        <w:tc>
          <w:tcPr/>
          <w:p>
            <w:pPr>
              <w:jc w:val="left"/>
            </w:pPr>
            <w:r>
              <w:t xml:space="preserve">2841,22</w:t>
            </w:r>
          </w:p>
        </w:tc>
      </w:tr>
      <w:tr>
        <w:tc>
          <w:tcPr/>
          <w:p>
            <w:pPr>
              <w:jc w:val="left"/>
            </w:pPr>
            <w:r>
              <w:t xml:space="preserve">Ветераны боевых действий и жители блокадного Ленинграда</w:t>
            </w:r>
          </w:p>
        </w:tc>
        <w:tc>
          <w:tcPr/>
          <w:p>
            <w:pPr>
              <w:jc w:val="left"/>
            </w:pPr>
            <w:r>
              <w:t xml:space="preserve">2225,84</w:t>
            </w:r>
          </w:p>
        </w:tc>
        <w:tc>
          <w:tcPr/>
          <w:p>
            <w:pPr>
              <w:jc w:val="left"/>
            </w:pPr>
            <w:r>
              <w:t xml:space="preserve">1386,19</w:t>
            </w:r>
          </w:p>
        </w:tc>
        <w:tc>
          <w:tcPr/>
          <w:p>
            <w:pPr>
              <w:jc w:val="left"/>
            </w:pPr>
            <w:r>
              <w:t xml:space="preserve">1486,24</w:t>
            </w:r>
          </w:p>
        </w:tc>
        <w:tc>
          <w:tcPr/>
          <w:p>
            <w:pPr>
              <w:jc w:val="left"/>
            </w:pPr>
            <w:r>
              <w:t xml:space="preserve">2032,9</w:t>
            </w:r>
          </w:p>
        </w:tc>
      </w:tr>
      <w:tr>
        <w:tc>
          <w:tcPr/>
          <w:p>
            <w:pPr>
              <w:jc w:val="left"/>
            </w:pPr>
            <w:r>
              <w:t xml:space="preserve">Члены семей умерших инвалидов ВОВ и участников ВОВ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1214,45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374,80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474,85</w:t>
            </w:r>
          </w:p>
        </w:tc>
        <w:tc>
          <w:tcPr/>
          <w:p>
            <w:pPr>
              <w:jc w:val="left"/>
            </w:pPr>
            <w:r>
              <w:t xml:space="preserve">1021,51</w:t>
            </w:r>
          </w:p>
        </w:tc>
      </w:tr>
      <w:tr>
        <w:tc>
          <w:tcPr/>
          <w:p>
            <w:pPr>
              <w:jc w:val="left"/>
            </w:pPr>
            <w:r>
              <w:t xml:space="preserve">Инвалиды 3 группы</w:t>
            </w:r>
          </w:p>
        </w:tc>
        <w:tc>
          <w:tcPr/>
          <w:p>
            <w:pPr>
              <w:jc w:val="left"/>
            </w:pPr>
            <w:r>
              <w:t xml:space="preserve">1619,27</w:t>
            </w:r>
          </w:p>
        </w:tc>
        <w:tc>
          <w:tcPr/>
          <w:p>
            <w:pPr>
              <w:jc w:val="left"/>
            </w:pPr>
            <w:r>
              <w:t xml:space="preserve">779,62</w:t>
            </w:r>
          </w:p>
        </w:tc>
        <w:tc>
          <w:tcPr/>
          <w:p>
            <w:pPr>
              <w:jc w:val="left"/>
            </w:pPr>
            <w:r>
              <w:t xml:space="preserve">879,67</w:t>
            </w:r>
          </w:p>
        </w:tc>
        <w:tc>
          <w:tcPr/>
          <w:p>
            <w:pPr>
              <w:jc w:val="left"/>
            </w:pPr>
            <w:r>
              <w:t xml:space="preserve">1426,33</w:t>
            </w:r>
          </w:p>
        </w:tc>
      </w:tr>
      <w:tr>
        <w:tc>
          <w:tcPr/>
          <w:p>
            <w:pPr>
              <w:jc w:val="left"/>
            </w:pPr>
            <w:r>
              <w:t xml:space="preserve">Инвалиды 2 группы,</w:t>
            </w:r>
            <w:r>
              <w:t xml:space="preserve">             </w:t>
            </w:r>
            <w:r>
              <w:t xml:space="preserve"> </w:t>
            </w:r>
            <w:r>
              <w:t xml:space="preserve">Дети-инвалиды</w:t>
            </w:r>
          </w:p>
        </w:tc>
        <w:tc>
          <w:tcPr/>
          <w:p>
            <w:pPr>
              <w:jc w:val="left"/>
            </w:pPr>
            <w:r>
              <w:t xml:space="preserve">2022,78</w:t>
            </w:r>
          </w:p>
        </w:tc>
        <w:tc>
          <w:tcPr/>
          <w:p>
            <w:pPr>
              <w:jc w:val="left"/>
            </w:pPr>
            <w:r>
              <w:t xml:space="preserve">1183,13</w:t>
            </w:r>
          </w:p>
        </w:tc>
        <w:tc>
          <w:tcPr/>
          <w:p>
            <w:pPr>
              <w:jc w:val="left"/>
            </w:pPr>
            <w:r>
              <w:t xml:space="preserve">1283,18</w:t>
            </w:r>
          </w:p>
        </w:tc>
        <w:tc>
          <w:tcPr/>
          <w:p>
            <w:pPr>
              <w:jc w:val="left"/>
            </w:pPr>
            <w:r>
              <w:t xml:space="preserve">1829,84</w:t>
            </w:r>
          </w:p>
        </w:tc>
      </w:tr>
      <w:tr>
        <w:tc>
          <w:tcPr/>
          <w:p>
            <w:pPr>
              <w:jc w:val="left"/>
            </w:pPr>
            <w:r>
              <w:t xml:space="preserve">Инвалиды 1 группы</w:t>
            </w:r>
          </w:p>
        </w:tc>
        <w:tc>
          <w:tcPr/>
          <w:p>
            <w:pPr>
              <w:jc w:val="left"/>
            </w:pPr>
            <w:r>
              <w:t xml:space="preserve">2832,41</w:t>
            </w:r>
          </w:p>
        </w:tc>
        <w:tc>
          <w:tcPr/>
          <w:p>
            <w:pPr>
              <w:jc w:val="left"/>
            </w:pPr>
            <w:r>
              <w:t xml:space="preserve">1992,76</w:t>
            </w:r>
          </w:p>
        </w:tc>
        <w:tc>
          <w:tcPr/>
          <w:p>
            <w:pPr>
              <w:jc w:val="left"/>
            </w:pPr>
            <w:r>
              <w:t xml:space="preserve">2092,81</w:t>
            </w:r>
          </w:p>
        </w:tc>
        <w:tc>
          <w:tcPr/>
          <w:p>
            <w:pPr>
              <w:jc w:val="left"/>
            </w:pPr>
            <w:r>
              <w:t xml:space="preserve">2639,47</w:t>
            </w:r>
          </w:p>
        </w:tc>
      </w:tr>
      <w:tr>
        <w:tc>
          <w:tcPr/>
          <w:p>
            <w:pPr>
              <w:jc w:val="left"/>
            </w:pPr>
            <w:r>
              <w:t xml:space="preserve">Участники-ликвидаторы</w:t>
            </w:r>
          </w:p>
          <w:p>
            <w:pPr>
              <w:jc w:val="left"/>
            </w:pPr>
            <w:r>
              <w:t xml:space="preserve">1986-1987 гг., Инвалиды вследствие ЧАЭС</w:t>
            </w:r>
          </w:p>
        </w:tc>
        <w:tc>
          <w:tcPr/>
          <w:p>
            <w:pPr>
              <w:jc w:val="left"/>
            </w:pPr>
            <w:r>
              <w:t xml:space="preserve">2022,78</w:t>
            </w:r>
          </w:p>
        </w:tc>
        <w:tc>
          <w:tcPr/>
          <w:p>
            <w:pPr>
              <w:jc w:val="left"/>
            </w:pPr>
            <w:r>
              <w:t xml:space="preserve">1183,13*</w:t>
            </w:r>
          </w:p>
        </w:tc>
        <w:tc>
          <w:tcPr/>
          <w:p>
            <w:pPr>
              <w:jc w:val="left"/>
            </w:pPr>
            <w:r>
              <w:t xml:space="preserve">1283,18*</w:t>
            </w:r>
          </w:p>
        </w:tc>
        <w:tc>
          <w:tcPr/>
          <w:p>
            <w:pPr>
              <w:jc w:val="left"/>
            </w:pPr>
            <w:r>
              <w:t xml:space="preserve">1829,84*</w:t>
            </w:r>
          </w:p>
        </w:tc>
      </w:tr>
      <w:tr>
        <w:tc>
          <w:tcPr/>
          <w:p>
            <w:pPr>
              <w:jc w:val="left"/>
            </w:pPr>
            <w:r>
              <w:t xml:space="preserve">Участники-ликвидаторы</w:t>
            </w:r>
            <w:r>
              <w:t xml:space="preserve"> </w:t>
            </w:r>
          </w:p>
          <w:p>
            <w:pPr>
              <w:jc w:val="left"/>
            </w:pPr>
            <w:r>
              <w:t xml:space="preserve">1988-1990 гг., Граждане, получившие или перенесшие лучевую болезнь</w:t>
            </w:r>
          </w:p>
        </w:tc>
        <w:tc>
          <w:tcPr/>
          <w:p>
            <w:pPr>
              <w:jc w:val="left"/>
            </w:pPr>
            <w:r>
              <w:t xml:space="preserve">1619,27</w:t>
            </w:r>
          </w:p>
        </w:tc>
        <w:tc>
          <w:tcPr/>
          <w:p>
            <w:pPr>
              <w:jc w:val="left"/>
            </w:pPr>
            <w:r>
              <w:t xml:space="preserve">779,62*</w:t>
            </w:r>
          </w:p>
        </w:tc>
        <w:tc>
          <w:tcPr/>
          <w:p>
            <w:pPr>
              <w:jc w:val="left"/>
            </w:pPr>
            <w:r>
              <w:t xml:space="preserve">879,67*</w:t>
            </w:r>
          </w:p>
        </w:tc>
        <w:tc>
          <w:tcPr/>
          <w:p>
            <w:pPr>
              <w:jc w:val="left"/>
            </w:pPr>
            <w:r>
              <w:t xml:space="preserve">1426,33*</w:t>
            </w:r>
          </w:p>
        </w:tc>
      </w:tr>
      <w:tr>
        <w:tc>
          <w:tcPr/>
          <w:p>
            <w:pPr>
              <w:jc w:val="left"/>
            </w:pPr>
            <w:r>
              <w:t xml:space="preserve">Дети в возрасте до 18 лет лиц, пострадавших в результате ЧАЭС</w:t>
            </w:r>
          </w:p>
        </w:tc>
        <w:tc>
          <w:tcPr/>
          <w:p>
            <w:pPr>
              <w:jc w:val="left"/>
            </w:pPr>
            <w:r>
              <w:t xml:space="preserve">1011,39</w:t>
            </w:r>
          </w:p>
        </w:tc>
        <w:tc>
          <w:tcPr/>
          <w:p>
            <w:pPr>
              <w:jc w:val="left"/>
            </w:pPr>
            <w:r>
              <w:t xml:space="preserve">171,74*</w:t>
            </w:r>
          </w:p>
        </w:tc>
        <w:tc>
          <w:tcPr/>
          <w:p>
            <w:pPr>
              <w:jc w:val="left"/>
            </w:pPr>
            <w:r>
              <w:t xml:space="preserve">271,79*</w:t>
            </w:r>
          </w:p>
        </w:tc>
        <w:tc>
          <w:tcPr/>
          <w:p>
            <w:pPr>
              <w:jc w:val="left"/>
            </w:pPr>
            <w:r>
              <w:t xml:space="preserve">818,45*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*Данный размер ЕДВ устанавливается в случае волеизъявления гражданина о получение набора социальных услуг в натуральном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http://golyanovo.mos.ru/presscenter/news/detail/654480.html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4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54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2025-08-02T10:39:45Z</dcterms:created>
  <dcterms:modified xsi:type="dcterms:W3CDTF">2025-08-02T10:39:45Z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