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ю-организаций"/>
    <w:p>
      <w:pPr>
        <w:pStyle w:val="Heading3"/>
      </w:pPr>
      <w:r>
        <w:t xml:space="preserve">Вниманию организаций!</w:t>
      </w:r>
    </w:p>
    <w:p>
      <w:pPr>
        <w:pStyle w:val="FirstParagraph"/>
      </w:pPr>
      <w:r>
        <w:t xml:space="preserve">25.03.2013</w:t>
      </w:r>
    </w:p>
    <w:p>
      <w:pPr>
        <w:pStyle w:val="BodyText"/>
      </w:pPr>
      <w:r>
        <w:t xml:space="preserve">Вниманию организаций, осуществляющих розничную продажу алкогольной и спиртосодержащей непищевой продукции, индивидуальных предпринимателей, осуществляющих реализацию пива и пивных напитков.</w:t>
      </w:r>
    </w:p>
    <w:p>
      <w:pPr>
        <w:pStyle w:val="BodyText"/>
      </w:pPr>
      <w:r>
        <w:t xml:space="preserve">Уважаемый декларант!</w:t>
      </w:r>
    </w:p>
    <w:p>
      <w:pPr>
        <w:pStyle w:val="BodyText"/>
      </w:pPr>
      <w:r>
        <w:t xml:space="preserve">Департамент торговли и услуг города Москвы доводит до Вашего сведения, что прием деклараций об объеме розничной продажи алкогольной продукции, спиртосодержащей непищевой продукции с содержанием этилового спирта более 25 процентов объема готовой продукции, пива и пивных напитков за 1 квартал 2013 года будет осуществляться до 10 апреля 2013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http://golyanovo.mos.ru/presscenter/news/detail/659575.html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9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9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2023-06-15T00:11:08Z</dcterms:created>
  <dcterms:modified xsi:type="dcterms:W3CDTF">2023-06-15T00:11:08Z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