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и-выходного-дня"/>
    <w:p>
      <w:pPr>
        <w:pStyle w:val="Heading3"/>
      </w:pPr>
      <w:r>
        <w:t xml:space="preserve">Ярмарки «выходного дня»</w:t>
      </w:r>
    </w:p>
    <w:p>
      <w:pPr>
        <w:pStyle w:val="FirstParagraph"/>
      </w:pPr>
      <w:r>
        <w:t xml:space="preserve">26.03.2013</w:t>
      </w:r>
    </w:p>
    <w:p>
      <w:pPr>
        <w:pStyle w:val="BodyText"/>
      </w:pPr>
      <w:r>
        <w:t xml:space="preserve">Ярмарки «выходного дня» на территории района Гольяново функционируют в соответствии с постановлением Правительства Москвы от 04.05.2011г. № 172-ПП «Об утверждении Порядка организации ярмарок и продажи товаров (выполнения работ, оказания услуг) на них на территории города Москвы» и распоряжением префектуры Восточного административного округа города Москвы от 6.12.2012г. № 544-В-РП «Об утверждении адресного перечня «ярмарок выходного дня» на территории Восточного административного округа города Москвы на 2013 год». Срок действия государственного контракта, заключенного управой района Гольяново с ООО «Лингва Франка Кафе» на выполнение комплекса услуг по организации ярмарок «выходного дня», истекает 31 марта 2013 года. В настоящее время в соответствии с распоряжением Правительства Москвы от 27.02.2013г. №109-РП проводится работа по передаче полномочий по организации ярмарок «выходного дня» государственным бюджетным учреждениям в сфере дорожной деятельности (ГБУ «Автомобильные дороги ВАО»). Дальнейшая организация ярмарок будет осуществляться указанной организацией в соответствии с действующим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http://golyanovo.mos.ru/presscenter/news/detail/659831.html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9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9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2023-07-22T17:36:07Z</dcterms:created>
  <dcterms:modified xsi:type="dcterms:W3CDTF">2023-07-22T17:36:07Z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