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7f2eb6c6d36d26cb0dca7277b21532055c52b"/>
    <w:p>
      <w:pPr>
        <w:pStyle w:val="Heading3"/>
      </w:pPr>
      <w:r>
        <w:t xml:space="preserve">Протокол публичных слушаний №1 от 28.02.2012 года по материалам проекта планировкичасти территории ПК №11 «Гольяновский парк» для размещения модульного храма (ул. Уральская, вл. 17 (напротив)</w:t>
      </w:r>
    </w:p>
    <w:p>
      <w:pPr>
        <w:pStyle w:val="FirstParagraph"/>
      </w:pPr>
      <w:r>
        <w:t xml:space="preserve">14.05.2013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http://golyanovo.mos.ru/presscenter/news/detail/699460.html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99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99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2025-03-09T01:34:51Z</dcterms:created>
  <dcterms:modified xsi:type="dcterms:W3CDTF">2025-03-09T01:34:51Z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