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2011d5ef159e57df1c3a015efe96bbc05a1199"/>
    <w:p>
      <w:pPr>
        <w:pStyle w:val="Heading3"/>
      </w:pPr>
      <w:r>
        <w:t xml:space="preserve">Вниманию организаций, осуществляющих розничную продажу алкогольной и спиртосодержащей непищевой продукции, индивидуальных предпринимателей, осуществляющих реализацию пива и пивных напитков, сидра, пуаре и медовухи</w:t>
      </w:r>
    </w:p>
    <w:p>
      <w:pPr>
        <w:pStyle w:val="FirstParagraph"/>
      </w:pPr>
      <w:r>
        <w:t xml:space="preserve">18.12.2013</w:t>
      </w:r>
    </w:p>
    <w:p>
      <w:pPr>
        <w:pStyle w:val="BodyText"/>
      </w:pPr>
      <w:r>
        <w:drawing>
          <wp:inline>
            <wp:extent cx="4572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prodlili-do-1-maya14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 торговли и услуг города Москвы доводит до Вашего сведения, что с</w:t>
      </w:r>
      <w:r>
        <w:t xml:space="preserve"> </w:t>
      </w:r>
      <w:r>
        <w:rPr>
          <w:bCs/>
          <w:b/>
        </w:rPr>
        <w:t xml:space="preserve">1 января 2014 года вступает в силу</w:t>
      </w:r>
      <w:r>
        <w:t xml:space="preserve"> </w:t>
      </w:r>
      <w:r>
        <w:t xml:space="preserve">постановление Правительства Российской Федерации от 15.11.2013 №1024, в соответствии с которым изменяется порядок приёма деклараций об объёме розничной продажи алкогольной и спиртосодержащей непищевой продукции, пива и пивных напитков, сидра, пуаре и медовухи на территории города Москвы.</w:t>
      </w:r>
    </w:p>
    <w:p>
      <w:pPr>
        <w:pStyle w:val="BodyText"/>
      </w:pPr>
      <w:r>
        <w:rPr>
          <w:bCs/>
          <w:b/>
        </w:rPr>
        <w:t xml:space="preserve">С 1 января 2014 года</w:t>
      </w:r>
      <w:r>
        <w:t xml:space="preserve"> </w:t>
      </w:r>
      <w:r>
        <w:t xml:space="preserve">организации, осуществляющие розничную продажу алкогольной продукции и зарегистрированные на территории города Москвы представляют декларации по форме 11 и 12 исключительно в форме электронного документа, формат которого утвержден приказом Росалкогольрегулирования от 05 августа 2013 г. №198.</w:t>
      </w:r>
    </w:p>
    <w:p>
      <w:pPr>
        <w:pStyle w:val="BodyText"/>
      </w:pPr>
      <w:r>
        <w:t xml:space="preserve">В соответствии с изменениями</w:t>
      </w:r>
      <w:bookmarkStart w:id="23" w:name="Par30"/>
      <w:bookmarkEnd w:id="23"/>
      <w:r>
        <w:t xml:space="preserve"> </w:t>
      </w:r>
      <w:r>
        <w:t xml:space="preserve">Правил представления деклараций,</w:t>
      </w:r>
      <w:r>
        <w:t xml:space="preserve"> </w:t>
      </w:r>
      <w:r>
        <w:rPr>
          <w:bCs/>
          <w:b/>
        </w:rPr>
        <w:t xml:space="preserve">с 1 января 2014 года</w:t>
      </w:r>
      <w:r>
        <w:t xml:space="preserve"> </w:t>
      </w:r>
      <w:r>
        <w:t xml:space="preserve">исключается возможность представления деклараций на бумажных носителях.</w:t>
      </w:r>
    </w:p>
    <w:p>
      <w:pPr>
        <w:pStyle w:val="BodyText"/>
      </w:pPr>
      <w:r>
        <w:t xml:space="preserve">Декларации в форме электронного документа подписываются усиленной квалифицированной электронной подписью, сертификат ключа проверки которой выдан удостоверяющим центром, аккредитованным Минкомсвязи России. Перечень аккредитованных удостоверяющих центров опубликован на сайте</w:t>
      </w:r>
      <w:r>
        <w:t xml:space="preserve"> </w:t>
      </w:r>
      <w:hyperlink r:id="rId24">
        <w:r>
          <w:rPr>
            <w:rStyle w:val="Hyperlink"/>
          </w:rPr>
          <w:t xml:space="preserve">http://minsvyaz.ru/ru/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Декларации представляются 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5">
        <w:r>
          <w:rPr>
            <w:rStyle w:val="Hyperlink"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Декларации представляются ежеквартально,</w:t>
      </w:r>
      <w:r>
        <w:t xml:space="preserve"> </w:t>
      </w:r>
      <w:r>
        <w:rPr>
          <w:bCs/>
          <w:b/>
        </w:rPr>
        <w:t xml:space="preserve">не позднее 20-го числа месяца, следующего за отчетным кварталом</w:t>
      </w:r>
      <w:r>
        <w:t xml:space="preserve">.</w:t>
      </w:r>
    </w:p>
    <w:p>
      <w:pPr>
        <w:pStyle w:val="BodyText"/>
      </w:pPr>
      <w:r>
        <w:t xml:space="preserve">Корректирующие декларации представляются до окончания квартала, следующего за отчетным кварталом.</w:t>
      </w:r>
    </w:p>
    <w:p>
      <w:pPr>
        <w:pStyle w:val="BodyText"/>
      </w:pPr>
      <w:r>
        <w:t xml:space="preserve">Просим Вас заранее провести все технические мероприятия, необходимые для своевременной и корректной сдачи деклараций.</w:t>
      </w:r>
    </w:p>
    <w:p>
      <w:pPr>
        <w:pStyle w:val="BodyText"/>
      </w:pPr>
      <w:r>
        <w:t xml:space="preserve">Контактные телефоны Департамент торговли и услуг города Москвы по вопросу декларирования: 8(495)621-18-58; 8(495)623-59-10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http://golyanovo.mos.ru/presscenter/news/detail/912549.html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912549.html" TargetMode="External" /><Relationship Type="http://schemas.openxmlformats.org/officeDocument/2006/relationships/hyperlink" Id="rId24" Target="http://minsvyaz.ru/ru/" TargetMode="External" /><Relationship Type="http://schemas.openxmlformats.org/officeDocument/2006/relationships/hyperlink" Id="rId25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912549.html" TargetMode="External" /><Relationship Type="http://schemas.openxmlformats.org/officeDocument/2006/relationships/hyperlink" Id="rId24" Target="http://minsvyaz.ru/ru/" TargetMode="External" /><Relationship Type="http://schemas.openxmlformats.org/officeDocument/2006/relationships/hyperlink" Id="rId25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2023-07-26T19:36:30Z</dcterms:created>
  <dcterms:modified xsi:type="dcterms:W3CDTF">2023-07-26T19:36:30Z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