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b3fcc69c6c79e892331e8ac56331fad369188"/>
    <w:p>
      <w:pPr>
        <w:pStyle w:val="Heading3"/>
      </w:pPr>
      <w:r>
        <w:t xml:space="preserve">Информация для руководителей предприятий торговли</w:t>
      </w:r>
    </w:p>
    <w:p>
      <w:pPr>
        <w:pStyle w:val="FirstParagraph"/>
      </w:pPr>
      <w:r>
        <w:t xml:space="preserve">20.12.2013</w:t>
      </w:r>
    </w:p>
    <w:p>
      <w:pPr>
        <w:pStyle w:val="BodyText"/>
      </w:pPr>
      <w:r>
        <w:drawing>
          <wp:inline>
            <wp:extent cx="5334000" cy="3559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греч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Территориальный отдел Управления Роспотребнадзора по городу Москве в </w:t>
      </w:r>
      <w:r>
        <w:t xml:space="preserve">Восточном административном округе города Москвы сообщает. </w:t>
      </w:r>
      <w:r>
        <w:t xml:space="preserve">На территории таможенного контроля в г. Загреб задержана партия гречневой </w:t>
      </w:r>
      <w:r>
        <w:t xml:space="preserve">каши (название на этикетке «Hajdinska kasa», экспортер «Агропродукт» Россия, </w:t>
      </w:r>
      <w:r>
        <w:t xml:space="preserve">номер партии 166, упаковка: мешки по 1000 кг) в связи с обнаружением в </w:t>
      </w:r>
      <w:r>
        <w:t xml:space="preserve">указанном продукте содержания охратоксина А в количестве 13,5 мг/кг. </w:t>
      </w:r>
    </w:p>
    <w:p>
      <w:pPr>
        <w:pStyle w:val="BodyText"/>
      </w:pPr>
      <w:r>
        <w:t xml:space="preserve">О наличии в реализации указанной продукции просьба информировать </w:t>
      </w:r>
      <w:r>
        <w:t xml:space="preserve">территориальный отдел Управления Роспотребнадзора по городу Москве в </w:t>
      </w:r>
      <w:r>
        <w:t xml:space="preserve">Восточном административном округе города Москвы по телефонам/факсам: 8-495-</w:t>
      </w:r>
      <w:r>
        <w:t xml:space="preserve">368-85-88, 8-495-368-20-05, 8-495-368-15-00.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http://golyanovo.mos.ru/presscenter/news/detail/914417.html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4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4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2025-06-02T01:51:07Z</dcterms:created>
  <dcterms:modified xsi:type="dcterms:W3CDTF">2025-06-02T01:51:07Z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