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f962ac1fcb0d716eb882288492cce39877a1b"/>
    <w:p>
      <w:pPr>
        <w:pStyle w:val="Heading3"/>
      </w:pPr>
      <w:r>
        <w:t xml:space="preserve">О поверке индивидуальных приборов учета воды</w:t>
      </w:r>
    </w:p>
    <w:p>
      <w:pPr>
        <w:pStyle w:val="FirstParagraph"/>
      </w:pPr>
      <w:r>
        <w:t xml:space="preserve">26.02.2014</w:t>
      </w:r>
    </w:p>
    <w:p>
      <w:pPr>
        <w:pStyle w:val="BodyText"/>
      </w:pPr>
      <w:r>
        <w:t xml:space="preserve">Согласно действующим нормативно-правовым документам, у лиц, установивших индивидуальные приборы учета воды, оплата водоснабжения осуществляется по показаниям соответствующих приборов учета воды в течение нормированного срока эксплуатации. Однако в процессе использования приборов учета, отдельные элементы конструкции приборов подвергаются износу, на внутренних полостях измерительных частей накапливаются отложения, а температурное воздействие на различные элементы водосчетчиков вызывает деформации, что может привести к сбою в их работе. В результате, приборы не могут вести точный учет.</w:t>
      </w:r>
    </w:p>
    <w:p>
      <w:pPr>
        <w:pStyle w:val="BodyText"/>
      </w:pPr>
      <w:r>
        <w:t xml:space="preserve">Согласно пп. «г», «ж» п.34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РФ от 6.05.2011г. №354 потребитель обязан использовать только те индивидуальные приборы учета воды, что</w:t>
      </w:r>
      <w:r>
        <w:t xml:space="preserve"> </w:t>
      </w:r>
      <w:r>
        <w:rPr>
          <w:bCs/>
          <w:b/>
        </w:rPr>
        <w:t xml:space="preserve">прошли поверку.</w:t>
      </w:r>
    </w:p>
    <w:p>
      <w:pPr>
        <w:pStyle w:val="BodyText"/>
      </w:pPr>
      <w:r>
        <w:t xml:space="preserve">В соответствии со статьей 13 Федерального закона от 26.06.2008г. №102-ФЗ «Об обеспечении единства измерений», поверка индивидуальных приборов учета (ИПУ) обязательна. Причем первичную поверку необходимо провести еще до ввода водосчетчиков в эксплуатацию, а также после ремонта приборов. В процессе эксплуатации по истечению межповерочного интервала счетчики подлежат периодической поверке. Согласно Постановлению Правительства от 26.12.2012г. №831-ПП «О внесении изменений в постановление Правительства Москвы от 10 февраля 2004 г. N 77-ПП» межповерочный интервал определяется предприятием – изготовителем прибора и обязательно указывается в техническом паспорте ИПУ. Обычно, для счетчиков холодной воды это шесть лет, а для счетчиков горячей воды – четыре года.</w:t>
      </w:r>
    </w:p>
    <w:p>
      <w:pPr>
        <w:pStyle w:val="BodyText"/>
      </w:pPr>
      <w:r>
        <w:t xml:space="preserve">Если проверка счетчиков не была осуществлена в указанный период, то оплата водоснабжения будет производиться по общему тарифу, игнорируя показания приборов (п.59 «Правил предоставления коммунальных услуг…»). Как показывает практика, это является крайне невыгодным, и поэтому следует поверять счетчики заранее, до истечения установленного срока.</w:t>
      </w:r>
    </w:p>
    <w:p>
      <w:pPr>
        <w:pStyle w:val="BodyText"/>
      </w:pPr>
      <w:r>
        <w:t xml:space="preserve">Необходимо отметить, что работы по поверке ИПУ не отнесены к услугам по содержанию и текущему ремонту общего имущества многоквартирного дома или к коммунальным услугам. Цены на услуги по поверке ИПУ не подлежат государственному регулированию и устанавливаются по соглашению сторон (в договоре). Чтобы провести периодическую поверку счетчика необходимо обратиться в специализированную организацию (телефоны организаций размещены на ЕПД). Мастер демонтирует прибор, отработавший свой срок, и взамен поставит новый счетчик (средняя стоимость нового счетчика – 1600 руб.). После установки житель получает Акт о смене счетчика с показаниями старого ИПУ и новыми данными, а также с датой проведения следующей поверки. Акт необходимо представить в районный ЕИРЦ или МФЦ для проведения дальнейших начислений согласно показаниям нового водосчетчика.</w:t>
      </w:r>
    </w:p>
    <w:p>
      <w:pPr>
        <w:pStyle w:val="BodyText"/>
      </w:pPr>
      <w:r>
        <w:rPr>
          <w:bCs/>
          <w:b/>
        </w:rPr>
        <w:t xml:space="preserve">Филиал ГКУ «Дирекция жилищно-коммунального хозяйства и</w:t>
      </w:r>
    </w:p>
    <w:p>
      <w:pPr>
        <w:pStyle w:val="BodyText"/>
      </w:pPr>
      <w:r>
        <w:rPr>
          <w:bCs/>
          <w:b/>
        </w:rPr>
        <w:t xml:space="preserve">благоустройства Восточного административного округа»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http://golyanovo.mos.ru/presscenter/news/detail/961173.html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61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61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2025-08-05T18:15:57Z</dcterms:created>
  <dcterms:modified xsi:type="dcterms:W3CDTF">2025-08-05T18:15:57Z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